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2.xml" ContentType="application/vnd.openxmlformats-officedocument.drawingml.chartshapes+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drawings/drawing3.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7365A4" w14:paraId="2A131A54" w14:textId="77777777" w:rsidTr="0038727E">
        <w:trPr>
          <w:trHeight w:val="852"/>
          <w:jc w:val="center"/>
        </w:trPr>
        <w:tc>
          <w:tcPr>
            <w:tcW w:w="6940" w:type="dxa"/>
            <w:vMerge w:val="restart"/>
            <w:tcBorders>
              <w:right w:val="single" w:sz="4" w:space="0" w:color="auto"/>
            </w:tcBorders>
          </w:tcPr>
          <w:p w14:paraId="38C3D2BA" w14:textId="77777777" w:rsidR="000A03B2" w:rsidRPr="007365A4" w:rsidRDefault="000A03B2" w:rsidP="00DE264A">
            <w:pPr>
              <w:tabs>
                <w:tab w:val="left" w:pos="-108"/>
              </w:tabs>
              <w:ind w:left="-108"/>
              <w:jc w:val="left"/>
              <w:rPr>
                <w:rFonts w:cs="Arial"/>
                <w:b/>
                <w:bCs/>
                <w:i/>
                <w:iCs/>
                <w:color w:val="000066"/>
                <w:sz w:val="12"/>
                <w:szCs w:val="12"/>
                <w:lang w:eastAsia="it-IT"/>
              </w:rPr>
            </w:pPr>
            <w:r w:rsidRPr="007365A4">
              <w:rPr>
                <w:rFonts w:ascii="AdvP6960" w:hAnsi="AdvP6960" w:cs="AdvP6960"/>
                <w:noProof/>
                <w:color w:val="241F20"/>
                <w:szCs w:val="18"/>
                <w:lang w:val="es-ES" w:eastAsia="es-ES"/>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7365A4">
              <w:rPr>
                <w:rFonts w:ascii="AdvP6960" w:hAnsi="AdvP6960" w:cs="AdvP6960"/>
                <w:color w:val="241F20"/>
                <w:szCs w:val="18"/>
                <w:lang w:eastAsia="it-IT"/>
              </w:rPr>
              <w:t xml:space="preserve"> </w:t>
            </w:r>
            <w:r w:rsidRPr="007365A4">
              <w:rPr>
                <w:rFonts w:cs="Arial"/>
                <w:b/>
                <w:bCs/>
                <w:i/>
                <w:iCs/>
                <w:color w:val="000066"/>
                <w:sz w:val="24"/>
                <w:szCs w:val="24"/>
                <w:lang w:eastAsia="it-IT"/>
              </w:rPr>
              <w:t>CHEMICAL ENGINEERING</w:t>
            </w:r>
            <w:r w:rsidRPr="007365A4">
              <w:rPr>
                <w:rFonts w:cs="Arial"/>
                <w:b/>
                <w:bCs/>
                <w:i/>
                <w:iCs/>
                <w:color w:val="0033FF"/>
                <w:sz w:val="24"/>
                <w:szCs w:val="24"/>
                <w:lang w:eastAsia="it-IT"/>
              </w:rPr>
              <w:t xml:space="preserve"> </w:t>
            </w:r>
            <w:r w:rsidRPr="007365A4">
              <w:rPr>
                <w:rFonts w:cs="Arial"/>
                <w:b/>
                <w:bCs/>
                <w:i/>
                <w:iCs/>
                <w:color w:val="666666"/>
                <w:sz w:val="24"/>
                <w:szCs w:val="24"/>
                <w:lang w:eastAsia="it-IT"/>
              </w:rPr>
              <w:t>TRANSACTIONS</w:t>
            </w:r>
            <w:r w:rsidRPr="007365A4">
              <w:rPr>
                <w:color w:val="333333"/>
                <w:sz w:val="24"/>
                <w:szCs w:val="24"/>
                <w:lang w:eastAsia="it-IT"/>
              </w:rPr>
              <w:t xml:space="preserve"> </w:t>
            </w:r>
            <w:r w:rsidRPr="007365A4">
              <w:rPr>
                <w:rFonts w:cs="Arial"/>
                <w:b/>
                <w:bCs/>
                <w:i/>
                <w:iCs/>
                <w:color w:val="000066"/>
                <w:sz w:val="27"/>
                <w:szCs w:val="27"/>
                <w:lang w:eastAsia="it-IT"/>
              </w:rPr>
              <w:br/>
            </w:r>
          </w:p>
          <w:p w14:paraId="4B780582" w14:textId="530285EB" w:rsidR="000A03B2" w:rsidRPr="007365A4" w:rsidRDefault="00A76EFC" w:rsidP="001D21AF">
            <w:pPr>
              <w:tabs>
                <w:tab w:val="left" w:pos="-108"/>
              </w:tabs>
              <w:ind w:left="-108"/>
              <w:rPr>
                <w:rFonts w:cs="Arial"/>
                <w:b/>
                <w:bCs/>
                <w:i/>
                <w:iCs/>
                <w:color w:val="000066"/>
                <w:sz w:val="22"/>
                <w:szCs w:val="22"/>
                <w:lang w:eastAsia="it-IT"/>
              </w:rPr>
            </w:pPr>
            <w:r w:rsidRPr="007365A4">
              <w:rPr>
                <w:rFonts w:cs="Arial"/>
                <w:b/>
                <w:bCs/>
                <w:i/>
                <w:iCs/>
                <w:color w:val="000066"/>
                <w:sz w:val="22"/>
                <w:szCs w:val="22"/>
                <w:lang w:eastAsia="it-IT"/>
              </w:rPr>
              <w:t xml:space="preserve">VOL. </w:t>
            </w:r>
            <w:r w:rsidR="0030152C" w:rsidRPr="007365A4">
              <w:rPr>
                <w:rFonts w:cs="Arial"/>
                <w:b/>
                <w:bCs/>
                <w:i/>
                <w:iCs/>
                <w:color w:val="000066"/>
                <w:sz w:val="22"/>
                <w:szCs w:val="22"/>
                <w:lang w:eastAsia="it-IT"/>
              </w:rPr>
              <w:t xml:space="preserve">   </w:t>
            </w:r>
            <w:r w:rsidR="007B48F9" w:rsidRPr="007365A4">
              <w:rPr>
                <w:rFonts w:cs="Arial"/>
                <w:b/>
                <w:bCs/>
                <w:i/>
                <w:iCs/>
                <w:color w:val="000066"/>
                <w:sz w:val="22"/>
                <w:szCs w:val="22"/>
                <w:lang w:eastAsia="it-IT"/>
              </w:rPr>
              <w:t>,</w:t>
            </w:r>
            <w:r w:rsidR="00FA5F5F" w:rsidRPr="007365A4">
              <w:rPr>
                <w:rFonts w:cs="Arial"/>
                <w:b/>
                <w:bCs/>
                <w:i/>
                <w:iCs/>
                <w:color w:val="000066"/>
                <w:sz w:val="22"/>
                <w:szCs w:val="22"/>
                <w:lang w:eastAsia="it-IT"/>
              </w:rPr>
              <w:t xml:space="preserve"> </w:t>
            </w:r>
            <w:r w:rsidR="0030152C" w:rsidRPr="007365A4">
              <w:rPr>
                <w:rFonts w:cs="Arial"/>
                <w:b/>
                <w:bCs/>
                <w:i/>
                <w:iCs/>
                <w:color w:val="000066"/>
                <w:sz w:val="22"/>
                <w:szCs w:val="22"/>
                <w:lang w:eastAsia="it-IT"/>
              </w:rPr>
              <w:t>2023</w:t>
            </w:r>
          </w:p>
        </w:tc>
        <w:tc>
          <w:tcPr>
            <w:tcW w:w="1842" w:type="dxa"/>
            <w:tcBorders>
              <w:left w:val="single" w:sz="4" w:space="0" w:color="auto"/>
              <w:bottom w:val="nil"/>
              <w:right w:val="single" w:sz="4" w:space="0" w:color="auto"/>
            </w:tcBorders>
          </w:tcPr>
          <w:p w14:paraId="56782132" w14:textId="77777777" w:rsidR="000A03B2" w:rsidRPr="007365A4" w:rsidRDefault="000A03B2" w:rsidP="00CD5FE2">
            <w:pPr>
              <w:spacing w:line="140" w:lineRule="atLeast"/>
              <w:jc w:val="right"/>
              <w:rPr>
                <w:rFonts w:cs="Arial"/>
                <w:sz w:val="14"/>
                <w:szCs w:val="14"/>
              </w:rPr>
            </w:pPr>
            <w:r w:rsidRPr="007365A4">
              <w:rPr>
                <w:rFonts w:cs="Arial"/>
                <w:sz w:val="14"/>
                <w:szCs w:val="14"/>
              </w:rPr>
              <w:t>A publication of</w:t>
            </w:r>
          </w:p>
          <w:p w14:paraId="599E5441" w14:textId="77777777" w:rsidR="000A03B2" w:rsidRPr="007365A4" w:rsidRDefault="000A03B2" w:rsidP="00CD5FE2">
            <w:pPr>
              <w:jc w:val="right"/>
            </w:pPr>
            <w:r w:rsidRPr="007365A4">
              <w:rPr>
                <w:noProof/>
                <w:lang w:val="es-ES" w:eastAsia="es-ES"/>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7365A4" w14:paraId="380FA3CD" w14:textId="77777777" w:rsidTr="0038727E">
        <w:trPr>
          <w:trHeight w:val="567"/>
          <w:jc w:val="center"/>
        </w:trPr>
        <w:tc>
          <w:tcPr>
            <w:tcW w:w="6940" w:type="dxa"/>
            <w:vMerge/>
            <w:tcBorders>
              <w:right w:val="single" w:sz="4" w:space="0" w:color="auto"/>
            </w:tcBorders>
          </w:tcPr>
          <w:p w14:paraId="39E5E4C1" w14:textId="77777777" w:rsidR="000A03B2" w:rsidRPr="007365A4" w:rsidRDefault="000A03B2" w:rsidP="00CD5FE2">
            <w:pPr>
              <w:tabs>
                <w:tab w:val="left" w:pos="-108"/>
              </w:tabs>
            </w:pPr>
          </w:p>
        </w:tc>
        <w:tc>
          <w:tcPr>
            <w:tcW w:w="1842" w:type="dxa"/>
            <w:tcBorders>
              <w:left w:val="single" w:sz="4" w:space="0" w:color="auto"/>
              <w:bottom w:val="nil"/>
              <w:right w:val="single" w:sz="4" w:space="0" w:color="auto"/>
            </w:tcBorders>
          </w:tcPr>
          <w:p w14:paraId="43858A98" w14:textId="77777777" w:rsidR="000A03B2" w:rsidRPr="007365A4" w:rsidRDefault="000A03B2" w:rsidP="00CD5FE2">
            <w:pPr>
              <w:spacing w:line="140" w:lineRule="atLeast"/>
              <w:jc w:val="right"/>
              <w:rPr>
                <w:rFonts w:cs="Arial"/>
                <w:sz w:val="14"/>
                <w:szCs w:val="14"/>
              </w:rPr>
            </w:pPr>
            <w:r w:rsidRPr="007365A4">
              <w:rPr>
                <w:rFonts w:cs="Arial"/>
                <w:sz w:val="14"/>
                <w:szCs w:val="14"/>
              </w:rPr>
              <w:t>The Italian Association</w:t>
            </w:r>
          </w:p>
          <w:p w14:paraId="7522B1D2" w14:textId="77777777" w:rsidR="000A03B2" w:rsidRPr="007365A4" w:rsidRDefault="000A03B2" w:rsidP="00CD5FE2">
            <w:pPr>
              <w:spacing w:line="140" w:lineRule="atLeast"/>
              <w:jc w:val="right"/>
              <w:rPr>
                <w:rFonts w:cs="Arial"/>
                <w:sz w:val="14"/>
                <w:szCs w:val="14"/>
              </w:rPr>
            </w:pPr>
            <w:r w:rsidRPr="007365A4">
              <w:rPr>
                <w:rFonts w:cs="Arial"/>
                <w:sz w:val="14"/>
                <w:szCs w:val="14"/>
              </w:rPr>
              <w:t>of Chemical Engineering</w:t>
            </w:r>
          </w:p>
          <w:p w14:paraId="4F0CC5DE" w14:textId="47FDB2FC" w:rsidR="000A03B2" w:rsidRPr="007365A4" w:rsidRDefault="000D0268" w:rsidP="00CD5FE2">
            <w:pPr>
              <w:spacing w:line="140" w:lineRule="atLeast"/>
              <w:jc w:val="right"/>
              <w:rPr>
                <w:rFonts w:cs="Arial"/>
                <w:sz w:val="13"/>
                <w:szCs w:val="13"/>
              </w:rPr>
            </w:pPr>
            <w:r w:rsidRPr="007365A4">
              <w:rPr>
                <w:rFonts w:cs="Arial"/>
                <w:sz w:val="13"/>
                <w:szCs w:val="13"/>
              </w:rPr>
              <w:t>Online at www.cetjournal.it</w:t>
            </w:r>
          </w:p>
        </w:tc>
      </w:tr>
      <w:tr w:rsidR="000A03B2" w:rsidRPr="007365A4" w14:paraId="2D1B7169" w14:textId="77777777" w:rsidTr="0038727E">
        <w:trPr>
          <w:trHeight w:val="68"/>
          <w:jc w:val="center"/>
        </w:trPr>
        <w:tc>
          <w:tcPr>
            <w:tcW w:w="8782" w:type="dxa"/>
            <w:gridSpan w:val="2"/>
          </w:tcPr>
          <w:p w14:paraId="1D8DD3C9" w14:textId="72C518CF" w:rsidR="00AA7D26" w:rsidRPr="007365A4" w:rsidRDefault="00AA7D26" w:rsidP="00AA7D26">
            <w:pPr>
              <w:ind w:left="-107"/>
              <w:outlineLvl w:val="2"/>
              <w:rPr>
                <w:rFonts w:ascii="Tahoma" w:hAnsi="Tahoma" w:cs="Tahoma"/>
                <w:bCs/>
                <w:color w:val="000000"/>
                <w:sz w:val="14"/>
                <w:szCs w:val="14"/>
                <w:lang w:eastAsia="it-IT"/>
              </w:rPr>
            </w:pPr>
            <w:r w:rsidRPr="007365A4">
              <w:rPr>
                <w:rFonts w:ascii="Tahoma" w:hAnsi="Tahoma" w:cs="Tahoma"/>
                <w:iCs/>
                <w:color w:val="333333"/>
                <w:sz w:val="14"/>
                <w:szCs w:val="14"/>
                <w:lang w:eastAsia="it-IT"/>
              </w:rPr>
              <w:t>Guest Editor:</w:t>
            </w:r>
            <w:r w:rsidRPr="007365A4">
              <w:rPr>
                <w:rFonts w:ascii="Tahoma" w:hAnsi="Tahoma" w:cs="Tahoma"/>
                <w:color w:val="000000"/>
                <w:sz w:val="14"/>
                <w:szCs w:val="14"/>
                <w:shd w:val="clear" w:color="auto" w:fill="FFFFFF"/>
              </w:rPr>
              <w:t xml:space="preserve"> </w:t>
            </w:r>
            <w:r w:rsidRPr="007365A4">
              <w:rPr>
                <w:rFonts w:ascii="Tahoma" w:hAnsi="Tahoma" w:cs="Tahoma"/>
                <w:sz w:val="14"/>
                <w:szCs w:val="14"/>
              </w:rPr>
              <w:t>Sauro Pierucci</w:t>
            </w:r>
          </w:p>
          <w:p w14:paraId="1B0F1814" w14:textId="650290B9" w:rsidR="000A03B2" w:rsidRPr="007365A4" w:rsidRDefault="00AA7D26" w:rsidP="00AA7D26">
            <w:pPr>
              <w:tabs>
                <w:tab w:val="left" w:pos="-108"/>
              </w:tabs>
              <w:spacing w:line="140" w:lineRule="atLeast"/>
              <w:ind w:left="-107"/>
              <w:jc w:val="left"/>
            </w:pPr>
            <w:r w:rsidRPr="007365A4">
              <w:rPr>
                <w:rFonts w:ascii="Tahoma" w:hAnsi="Tahoma" w:cs="Tahoma"/>
                <w:iCs/>
                <w:color w:val="333333"/>
                <w:sz w:val="14"/>
                <w:szCs w:val="14"/>
                <w:lang w:eastAsia="it-IT"/>
              </w:rPr>
              <w:t>Copyright © 2023, AIDIC Servizi S.r.l.</w:t>
            </w:r>
            <w:r w:rsidRPr="007365A4">
              <w:rPr>
                <w:rFonts w:ascii="Tahoma" w:hAnsi="Tahoma" w:cs="Tahoma"/>
                <w:iCs/>
                <w:color w:val="333333"/>
                <w:sz w:val="14"/>
                <w:szCs w:val="14"/>
                <w:lang w:eastAsia="it-IT"/>
              </w:rPr>
              <w:br/>
            </w:r>
            <w:r w:rsidRPr="007365A4">
              <w:rPr>
                <w:rFonts w:ascii="Tahoma" w:hAnsi="Tahoma" w:cs="Tahoma"/>
                <w:b/>
                <w:iCs/>
                <w:color w:val="000000"/>
                <w:sz w:val="14"/>
                <w:szCs w:val="14"/>
                <w:lang w:eastAsia="it-IT"/>
              </w:rPr>
              <w:t>ISBN</w:t>
            </w:r>
            <w:r w:rsidRPr="007365A4">
              <w:rPr>
                <w:rFonts w:ascii="Tahoma" w:hAnsi="Tahoma" w:cs="Tahoma"/>
                <w:iCs/>
                <w:color w:val="000000"/>
                <w:sz w:val="14"/>
                <w:szCs w:val="14"/>
                <w:lang w:eastAsia="it-IT"/>
              </w:rPr>
              <w:t xml:space="preserve"> </w:t>
            </w:r>
            <w:r w:rsidRPr="007365A4">
              <w:rPr>
                <w:rFonts w:ascii="Tahoma" w:hAnsi="Tahoma" w:cs="Tahoma"/>
                <w:sz w:val="14"/>
                <w:szCs w:val="14"/>
              </w:rPr>
              <w:t>978-88-95608-98-3</w:t>
            </w:r>
            <w:r w:rsidRPr="007365A4">
              <w:rPr>
                <w:rFonts w:ascii="Tahoma" w:hAnsi="Tahoma" w:cs="Tahoma"/>
                <w:iCs/>
                <w:color w:val="333333"/>
                <w:sz w:val="14"/>
                <w:szCs w:val="14"/>
                <w:lang w:eastAsia="it-IT"/>
              </w:rPr>
              <w:t xml:space="preserve">; </w:t>
            </w:r>
            <w:r w:rsidRPr="007365A4">
              <w:rPr>
                <w:rFonts w:ascii="Tahoma" w:hAnsi="Tahoma" w:cs="Tahoma"/>
                <w:b/>
                <w:iCs/>
                <w:color w:val="333333"/>
                <w:sz w:val="14"/>
                <w:szCs w:val="14"/>
                <w:lang w:eastAsia="it-IT"/>
              </w:rPr>
              <w:t>ISSN</w:t>
            </w:r>
            <w:r w:rsidRPr="007365A4">
              <w:rPr>
                <w:rFonts w:ascii="Tahoma" w:hAnsi="Tahoma" w:cs="Tahoma"/>
                <w:iCs/>
                <w:color w:val="333333"/>
                <w:sz w:val="14"/>
                <w:szCs w:val="14"/>
                <w:lang w:eastAsia="it-IT"/>
              </w:rPr>
              <w:t xml:space="preserve"> 2283-9216</w:t>
            </w:r>
          </w:p>
        </w:tc>
      </w:tr>
    </w:tbl>
    <w:p w14:paraId="2E667253" w14:textId="53C8549B" w:rsidR="00E978D0" w:rsidRPr="007365A4" w:rsidRDefault="0038727E" w:rsidP="00E978D0">
      <w:pPr>
        <w:pStyle w:val="CETTitle"/>
      </w:pPr>
      <w:r w:rsidRPr="007365A4">
        <w:t xml:space="preserve">Comparison of the </w:t>
      </w:r>
      <w:r w:rsidR="005E4C89">
        <w:t>R</w:t>
      </w:r>
      <w:r w:rsidRPr="007365A4">
        <w:t xml:space="preserve">elease </w:t>
      </w:r>
      <w:r w:rsidR="005E4C89">
        <w:t>K</w:t>
      </w:r>
      <w:r w:rsidRPr="007365A4">
        <w:t xml:space="preserve">inetics of a </w:t>
      </w:r>
      <w:r w:rsidR="005E4C89">
        <w:t>N</w:t>
      </w:r>
      <w:r w:rsidRPr="007365A4">
        <w:t xml:space="preserve">atural </w:t>
      </w:r>
      <w:r w:rsidR="005E4C89">
        <w:t>D</w:t>
      </w:r>
      <w:r w:rsidRPr="007365A4">
        <w:t>rug-</w:t>
      </w:r>
      <w:r w:rsidR="008D1A6C">
        <w:t>A</w:t>
      </w:r>
      <w:r w:rsidRPr="007365A4">
        <w:t xml:space="preserve">ctive </w:t>
      </w:r>
      <w:r w:rsidR="005E4C89">
        <w:t>E</w:t>
      </w:r>
      <w:r w:rsidRPr="007365A4">
        <w:t xml:space="preserve">xtract </w:t>
      </w:r>
      <w:r w:rsidR="00185F31">
        <w:t xml:space="preserve">from Mangifera Indica </w:t>
      </w:r>
      <w:r w:rsidR="008D1A6C">
        <w:t xml:space="preserve">Leaves </w:t>
      </w:r>
      <w:r w:rsidR="005E4C89">
        <w:t>I</w:t>
      </w:r>
      <w:r w:rsidRPr="007365A4">
        <w:t xml:space="preserve">mpregnated into </w:t>
      </w:r>
      <w:r w:rsidR="008C1E32">
        <w:t xml:space="preserve">Thermoplastic </w:t>
      </w:r>
      <w:r w:rsidR="005E4C89">
        <w:t>Polyurethane</w:t>
      </w:r>
      <w:r w:rsidR="008C1E32">
        <w:t xml:space="preserve"> </w:t>
      </w:r>
      <w:r w:rsidRPr="007365A4">
        <w:t>and P</w:t>
      </w:r>
      <w:r w:rsidR="005E4C89">
        <w:t>o</w:t>
      </w:r>
      <w:r w:rsidR="00283353">
        <w:t>l</w:t>
      </w:r>
      <w:r w:rsidR="005E4C89">
        <w:t>ylactic Acid</w:t>
      </w:r>
      <w:r w:rsidRPr="007365A4">
        <w:t xml:space="preserve"> by </w:t>
      </w:r>
      <w:r w:rsidR="005E4C89">
        <w:t>S</w:t>
      </w:r>
      <w:r w:rsidRPr="007365A4">
        <w:t xml:space="preserve">upercritical </w:t>
      </w:r>
      <w:r w:rsidR="005E4C89">
        <w:t>F</w:t>
      </w:r>
      <w:r w:rsidRPr="007365A4">
        <w:t>luids</w:t>
      </w:r>
    </w:p>
    <w:p w14:paraId="07CAA27A" w14:textId="700E10D2" w:rsidR="0038727E" w:rsidRPr="007365A4" w:rsidRDefault="0038727E" w:rsidP="0038727E">
      <w:pPr>
        <w:pStyle w:val="NormalWeb"/>
        <w:ind w:right="-7"/>
        <w:jc w:val="center"/>
        <w:rPr>
          <w:lang w:val="pt-PT"/>
        </w:rPr>
      </w:pPr>
      <w:r w:rsidRPr="007365A4">
        <w:rPr>
          <w:color w:val="000000"/>
          <w:lang w:val="pt-PT"/>
        </w:rPr>
        <w:t>Lidia Verano-Naranjo*, Antonio Rincón, Cristina Cejudo-Bastante, Lourdes Casas, Casimiro Mantell</w:t>
      </w:r>
      <w:r w:rsidR="002F7ED7">
        <w:rPr>
          <w:color w:val="000000"/>
          <w:lang w:val="pt-PT"/>
        </w:rPr>
        <w:t>, Enrique Martínez de la Ossa</w:t>
      </w:r>
    </w:p>
    <w:p w14:paraId="6B2D21B3" w14:textId="062B3A41" w:rsidR="00B57E6F" w:rsidRPr="007365A4" w:rsidRDefault="0038727E" w:rsidP="00B57E6F">
      <w:pPr>
        <w:pStyle w:val="CETAddress"/>
        <w:rPr>
          <w:lang w:val="pt-PT"/>
        </w:rPr>
      </w:pPr>
      <w:r w:rsidRPr="007365A4">
        <w:t xml:space="preserve">Chemical Engineering and Food Technology Department, Wine and Agrifood Research Institute (IVAGRO), University of Cadiz, Avda. </w:t>
      </w:r>
      <w:r w:rsidRPr="007365A4">
        <w:rPr>
          <w:lang w:val="pt-PT"/>
        </w:rPr>
        <w:t>República Saharaui, s/n, 11510, Puerto Real, Cádiz, SPAIN</w:t>
      </w:r>
      <w:r w:rsidR="00B57E6F" w:rsidRPr="007365A4">
        <w:rPr>
          <w:lang w:val="pt-PT"/>
        </w:rPr>
        <w:t xml:space="preserve"> </w:t>
      </w:r>
    </w:p>
    <w:p w14:paraId="73F1267A" w14:textId="6C5A070A" w:rsidR="00B57E6F" w:rsidRPr="007365A4" w:rsidRDefault="0038727E" w:rsidP="00B57E6F">
      <w:pPr>
        <w:pStyle w:val="CETemail"/>
        <w:rPr>
          <w:lang w:val="pt-PT"/>
        </w:rPr>
      </w:pPr>
      <w:r w:rsidRPr="007365A4">
        <w:rPr>
          <w:lang w:val="pt-PT"/>
        </w:rPr>
        <w:t xml:space="preserve">* </w:t>
      </w:r>
      <w:r w:rsidR="00B57E6F" w:rsidRPr="007365A4">
        <w:rPr>
          <w:lang w:val="pt-PT"/>
        </w:rPr>
        <w:t xml:space="preserve"> </w:t>
      </w:r>
      <w:r w:rsidRPr="007365A4">
        <w:rPr>
          <w:lang w:val="pt-PT"/>
        </w:rPr>
        <w:t>lidia.verano@uca.es</w:t>
      </w:r>
    </w:p>
    <w:p w14:paraId="3850BA60" w14:textId="16FE5031" w:rsidR="009745CA" w:rsidRPr="007365A4" w:rsidRDefault="009745CA" w:rsidP="009745CA">
      <w:pPr>
        <w:pStyle w:val="CETBodytext"/>
        <w:rPr>
          <w:lang w:val="en-GB"/>
        </w:rPr>
      </w:pPr>
      <w:r w:rsidRPr="007365A4">
        <w:rPr>
          <w:lang w:val="en-GB"/>
        </w:rPr>
        <w:t xml:space="preserve">The use of pharmacoactive polymeric devices has experienced significant growth in recent years due to </w:t>
      </w:r>
      <w:r w:rsidR="006E3A05">
        <w:rPr>
          <w:lang w:val="en-GB"/>
        </w:rPr>
        <w:t>their</w:t>
      </w:r>
      <w:r w:rsidRPr="007365A4">
        <w:rPr>
          <w:lang w:val="en-GB"/>
        </w:rPr>
        <w:t xml:space="preserve"> ability to increase the efficacy of treatment and acceptance by the body. Among the natural active principles, those recovered from waste from other industries stand out. In addition to participating in the circular economy, some of these by-products have very interesting properties to be used in biomedicine. However, the challenge in this field is to introduce these active principles into polymers in the most efficient and least polluting way possible. In this sense, one of the techniques with the greatest impact is the use of supercritical fluids. In this work, the supercritical impregnation of two biomedical polymers was studied </w:t>
      </w:r>
      <w:r w:rsidR="000C256C">
        <w:rPr>
          <w:lang w:val="en-GB"/>
        </w:rPr>
        <w:t>comparatively</w:t>
      </w:r>
      <w:r w:rsidRPr="007365A4">
        <w:rPr>
          <w:lang w:val="en-GB"/>
        </w:rPr>
        <w:t xml:space="preserve">: polylactic acid (PLA) and thermoplastic polyurethane (TPU). The impregnated active ingredient was </w:t>
      </w:r>
      <w:r w:rsidRPr="007365A4">
        <w:rPr>
          <w:i/>
          <w:iCs/>
          <w:lang w:val="en-GB"/>
        </w:rPr>
        <w:t>Mangifera indica</w:t>
      </w:r>
      <w:r w:rsidRPr="007365A4">
        <w:rPr>
          <w:lang w:val="en-GB"/>
        </w:rPr>
        <w:t xml:space="preserve"> leaf extract (MLE), which has demonstrated antioxidant, antimicrobial, and anti-inflammatory capacities, and proangiogenic, antiproliferative, and </w:t>
      </w:r>
      <w:r w:rsidR="006E3A05">
        <w:rPr>
          <w:lang w:val="en-GB"/>
        </w:rPr>
        <w:t>anti-apoptotic</w:t>
      </w:r>
      <w:r w:rsidRPr="007365A4">
        <w:rPr>
          <w:lang w:val="en-GB"/>
        </w:rPr>
        <w:t xml:space="preserve"> effects on colony-forming endothelial cells.</w:t>
      </w:r>
    </w:p>
    <w:p w14:paraId="1070F464" w14:textId="77777777" w:rsidR="009745CA" w:rsidRPr="007365A4" w:rsidRDefault="009745CA" w:rsidP="009745CA">
      <w:pPr>
        <w:pStyle w:val="CETBodytext"/>
        <w:rPr>
          <w:lang w:val="en-GB"/>
        </w:rPr>
      </w:pPr>
      <w:r w:rsidRPr="007365A4">
        <w:rPr>
          <w:lang w:val="en-GB"/>
        </w:rPr>
        <w:t>The results obtained expose the potential of the polymers studied in the field of biomedicine due to the acquired bioactivity of both polymers after the process, which was verified by measuring the antioxidant capacity. Better loads have been obtained in TPU compared to PLA. Both polymers exhibit diffusion-based release kinetics, in which a rapid release is observed in the early moments followed by a much slower release. However, PLA seems to release a greater proportion of its impregnated extract than TPU in less time, which is interesting to determine the different applications that each polymer can have.</w:t>
      </w:r>
    </w:p>
    <w:p w14:paraId="68EB18CD" w14:textId="77777777" w:rsidR="009745CA" w:rsidRPr="007365A4" w:rsidRDefault="009745CA" w:rsidP="0038727E">
      <w:pPr>
        <w:pStyle w:val="CETBodytext"/>
        <w:rPr>
          <w:lang w:val="en-GB"/>
        </w:rPr>
      </w:pPr>
    </w:p>
    <w:p w14:paraId="476B2F2E" w14:textId="444E4719" w:rsidR="00600535" w:rsidRPr="007365A4" w:rsidRDefault="00600535" w:rsidP="00600535">
      <w:pPr>
        <w:pStyle w:val="CETHeading1"/>
        <w:rPr>
          <w:lang w:val="en-GB"/>
        </w:rPr>
      </w:pPr>
      <w:r w:rsidRPr="007365A4">
        <w:rPr>
          <w:lang w:val="en-GB"/>
        </w:rPr>
        <w:t>Introduction</w:t>
      </w:r>
    </w:p>
    <w:p w14:paraId="0A0A73A9" w14:textId="6FED3119" w:rsidR="005A3534" w:rsidRPr="007365A4" w:rsidRDefault="00AD3C43" w:rsidP="005A3534">
      <w:pPr>
        <w:pStyle w:val="CETBodytext"/>
        <w:rPr>
          <w:lang w:val="en-GB"/>
        </w:rPr>
      </w:pPr>
      <w:r w:rsidRPr="007365A4">
        <w:rPr>
          <w:lang w:val="en-GB"/>
        </w:rPr>
        <w:t xml:space="preserve">The use of medicinal plants </w:t>
      </w:r>
      <w:r w:rsidR="00203291" w:rsidRPr="007365A4">
        <w:rPr>
          <w:lang w:val="en-GB"/>
        </w:rPr>
        <w:t>dates to</w:t>
      </w:r>
      <w:r w:rsidRPr="007365A4">
        <w:rPr>
          <w:lang w:val="en-GB"/>
        </w:rPr>
        <w:t xml:space="preserve"> the origins of the first human civilizations whe</w:t>
      </w:r>
      <w:r w:rsidR="00AC185E" w:rsidRPr="007365A4">
        <w:rPr>
          <w:lang w:val="en-GB"/>
        </w:rPr>
        <w:t>n</w:t>
      </w:r>
      <w:r w:rsidRPr="007365A4">
        <w:rPr>
          <w:lang w:val="en-GB"/>
        </w:rPr>
        <w:t xml:space="preserve"> different combinations were used to obtain health benefits, being the origin of current medicines (Kumar et al., 2022). </w:t>
      </w:r>
      <w:r w:rsidR="00FF49FB" w:rsidRPr="007365A4">
        <w:rPr>
          <w:lang w:val="en-GB"/>
        </w:rPr>
        <w:t xml:space="preserve">In recent years there has been an exponential increase in the demand </w:t>
      </w:r>
      <w:r w:rsidR="00BE618A" w:rsidRPr="007365A4">
        <w:rPr>
          <w:lang w:val="en-GB"/>
        </w:rPr>
        <w:t xml:space="preserve">for </w:t>
      </w:r>
      <w:r w:rsidR="00FF49FB" w:rsidRPr="007365A4">
        <w:rPr>
          <w:lang w:val="en-GB"/>
        </w:rPr>
        <w:t>natural products with applications in the field of medicine.</w:t>
      </w:r>
    </w:p>
    <w:p w14:paraId="0F9031CD" w14:textId="2B475D56" w:rsidR="00702186" w:rsidRPr="007365A4" w:rsidRDefault="006E48AA" w:rsidP="005A3534">
      <w:pPr>
        <w:pStyle w:val="CETBodytext"/>
        <w:rPr>
          <w:lang w:val="en-GB"/>
        </w:rPr>
      </w:pPr>
      <w:r w:rsidRPr="007365A4">
        <w:rPr>
          <w:lang w:val="en-GB"/>
        </w:rPr>
        <w:t xml:space="preserve">Mango, </w:t>
      </w:r>
      <w:r w:rsidRPr="007365A4">
        <w:rPr>
          <w:i/>
          <w:iCs/>
          <w:lang w:val="en-GB"/>
        </w:rPr>
        <w:t>Man</w:t>
      </w:r>
      <w:r w:rsidR="00951A69" w:rsidRPr="007365A4">
        <w:rPr>
          <w:i/>
          <w:iCs/>
          <w:lang w:val="en-GB"/>
        </w:rPr>
        <w:t>g</w:t>
      </w:r>
      <w:r w:rsidRPr="007365A4">
        <w:rPr>
          <w:i/>
          <w:iCs/>
          <w:lang w:val="en-GB"/>
        </w:rPr>
        <w:t xml:space="preserve">ifera </w:t>
      </w:r>
      <w:r w:rsidR="00951A69" w:rsidRPr="007365A4">
        <w:rPr>
          <w:i/>
          <w:iCs/>
          <w:lang w:val="en-GB"/>
        </w:rPr>
        <w:t>i</w:t>
      </w:r>
      <w:r w:rsidRPr="007365A4">
        <w:rPr>
          <w:i/>
          <w:iCs/>
          <w:lang w:val="en-GB"/>
        </w:rPr>
        <w:t>ndica</w:t>
      </w:r>
      <w:r w:rsidRPr="007365A4">
        <w:rPr>
          <w:lang w:val="en-GB"/>
        </w:rPr>
        <w:t>, is considered one of the most important tropical fruits</w:t>
      </w:r>
      <w:r w:rsidR="007665C0">
        <w:rPr>
          <w:lang w:val="en-GB"/>
        </w:rPr>
        <w:t xml:space="preserve"> and</w:t>
      </w:r>
      <w:r w:rsidRPr="007365A4">
        <w:rPr>
          <w:lang w:val="en-GB"/>
        </w:rPr>
        <w:t xml:space="preserve"> one of the </w:t>
      </w:r>
      <w:r w:rsidR="00BE33B1" w:rsidRPr="00EB06FE">
        <w:rPr>
          <w:lang w:val="en-GB"/>
        </w:rPr>
        <w:t>world's</w:t>
      </w:r>
      <w:r w:rsidR="00BE33B1" w:rsidRPr="007365A4">
        <w:rPr>
          <w:lang w:val="en-GB"/>
        </w:rPr>
        <w:t xml:space="preserve"> </w:t>
      </w:r>
      <w:r w:rsidRPr="007365A4">
        <w:rPr>
          <w:lang w:val="en-GB"/>
        </w:rPr>
        <w:t>most consumed fruits (Ferreira et al., 2019).</w:t>
      </w:r>
      <w:r w:rsidR="00744ACF" w:rsidRPr="007365A4">
        <w:rPr>
          <w:lang w:val="en-GB"/>
        </w:rPr>
        <w:t xml:space="preserve"> </w:t>
      </w:r>
      <w:r w:rsidR="001210E6" w:rsidRPr="007365A4">
        <w:rPr>
          <w:lang w:val="en-GB"/>
        </w:rPr>
        <w:t>Only the pulp</w:t>
      </w:r>
      <w:r w:rsidR="00744ACF" w:rsidRPr="007365A4">
        <w:rPr>
          <w:lang w:val="en-GB"/>
        </w:rPr>
        <w:t xml:space="preserve"> is consumed from the mango while the leaves, seeds, skin</w:t>
      </w:r>
      <w:r w:rsidR="00B03766" w:rsidRPr="007365A4">
        <w:rPr>
          <w:lang w:val="en-GB"/>
        </w:rPr>
        <w:t>,</w:t>
      </w:r>
      <w:r w:rsidR="00744ACF" w:rsidRPr="007365A4">
        <w:rPr>
          <w:lang w:val="en-GB"/>
        </w:rPr>
        <w:t xml:space="preserve"> and stems are discarded, </w:t>
      </w:r>
      <w:r w:rsidR="00BC576B" w:rsidRPr="007365A4">
        <w:rPr>
          <w:lang w:val="en-GB"/>
        </w:rPr>
        <w:t>representing</w:t>
      </w:r>
      <w:r w:rsidR="00744ACF" w:rsidRPr="007365A4">
        <w:rPr>
          <w:lang w:val="en-GB"/>
        </w:rPr>
        <w:t xml:space="preserve"> between 35</w:t>
      </w:r>
      <w:r w:rsidR="005C269E" w:rsidRPr="007365A4">
        <w:rPr>
          <w:lang w:val="en-GB"/>
        </w:rPr>
        <w:t xml:space="preserve"> to</w:t>
      </w:r>
      <w:r w:rsidR="00744ACF" w:rsidRPr="007365A4">
        <w:rPr>
          <w:lang w:val="en-GB"/>
        </w:rPr>
        <w:t xml:space="preserve"> 60</w:t>
      </w:r>
      <w:r w:rsidR="00CE5862" w:rsidRPr="007365A4">
        <w:rPr>
          <w:lang w:val="en-GB"/>
        </w:rPr>
        <w:t xml:space="preserve"> </w:t>
      </w:r>
      <w:r w:rsidR="00744ACF" w:rsidRPr="007365A4">
        <w:rPr>
          <w:lang w:val="en-GB"/>
        </w:rPr>
        <w:t>% of the total biomass of th</w:t>
      </w:r>
      <w:r w:rsidR="00BC5226" w:rsidRPr="007365A4">
        <w:rPr>
          <w:lang w:val="en-GB"/>
        </w:rPr>
        <w:t>is</w:t>
      </w:r>
      <w:r w:rsidR="00744ACF" w:rsidRPr="007365A4">
        <w:rPr>
          <w:lang w:val="en-GB"/>
        </w:rPr>
        <w:t xml:space="preserve"> fruit </w:t>
      </w:r>
      <w:r w:rsidR="00BC5226" w:rsidRPr="007365A4">
        <w:rPr>
          <w:lang w:val="en-GB"/>
        </w:rPr>
        <w:t>crop</w:t>
      </w:r>
      <w:r w:rsidR="00744ACF" w:rsidRPr="007365A4">
        <w:rPr>
          <w:lang w:val="en-GB"/>
        </w:rPr>
        <w:t xml:space="preserve"> (Pratelli et al.</w:t>
      </w:r>
      <w:r w:rsidR="001D652E" w:rsidRPr="007365A4">
        <w:rPr>
          <w:lang w:val="en-GB"/>
        </w:rPr>
        <w:t xml:space="preserve">, </w:t>
      </w:r>
      <w:r w:rsidR="00744ACF" w:rsidRPr="007365A4">
        <w:rPr>
          <w:lang w:val="en-GB"/>
        </w:rPr>
        <w:t>2022).</w:t>
      </w:r>
      <w:r w:rsidR="00421681" w:rsidRPr="007365A4">
        <w:rPr>
          <w:lang w:val="en-GB"/>
        </w:rPr>
        <w:t xml:space="preserve"> </w:t>
      </w:r>
      <w:r w:rsidR="00481519">
        <w:rPr>
          <w:lang w:val="en-GB"/>
        </w:rPr>
        <w:t>Processing</w:t>
      </w:r>
      <w:r w:rsidR="00B975F5">
        <w:rPr>
          <w:lang w:val="en-GB"/>
        </w:rPr>
        <w:t xml:space="preserve"> </w:t>
      </w:r>
      <w:r w:rsidR="002F1637" w:rsidRPr="007365A4">
        <w:rPr>
          <w:lang w:val="en-GB"/>
        </w:rPr>
        <w:t xml:space="preserve">these by-products as raw materials in other industries </w:t>
      </w:r>
      <w:r w:rsidR="00B03766" w:rsidRPr="007365A4">
        <w:rPr>
          <w:lang w:val="en-GB"/>
        </w:rPr>
        <w:t xml:space="preserve">favors </w:t>
      </w:r>
      <w:r w:rsidR="002F1637" w:rsidRPr="007365A4">
        <w:rPr>
          <w:lang w:val="en-GB"/>
        </w:rPr>
        <w:t>the circular economy and allows obtaining substances with high added value</w:t>
      </w:r>
      <w:r w:rsidR="007365A4" w:rsidRPr="007365A4">
        <w:rPr>
          <w:lang w:val="en-GB"/>
        </w:rPr>
        <w:t xml:space="preserve"> (Fernández-Ponce et al., 2013)</w:t>
      </w:r>
      <w:r w:rsidR="002F1637" w:rsidRPr="007365A4">
        <w:rPr>
          <w:lang w:val="en-GB"/>
        </w:rPr>
        <w:t>.</w:t>
      </w:r>
    </w:p>
    <w:p w14:paraId="07D2AA36" w14:textId="2FCC8B85" w:rsidR="00B937B8" w:rsidRPr="007365A4" w:rsidRDefault="00F96A29" w:rsidP="005A3534">
      <w:pPr>
        <w:pStyle w:val="CETBodytext"/>
      </w:pPr>
      <w:r w:rsidRPr="007365A4">
        <w:t>M</w:t>
      </w:r>
      <w:r w:rsidR="005F1622" w:rsidRPr="007365A4">
        <w:t>ango extract</w:t>
      </w:r>
      <w:r w:rsidRPr="007365A4">
        <w:t xml:space="preserve">s rich in polyphenols, specially </w:t>
      </w:r>
      <w:r w:rsidR="002D25EE" w:rsidRPr="007365A4">
        <w:t>m</w:t>
      </w:r>
      <w:r w:rsidRPr="007365A4">
        <w:t>angi</w:t>
      </w:r>
      <w:r w:rsidR="002A7612" w:rsidRPr="007365A4">
        <w:t xml:space="preserve">ferin, </w:t>
      </w:r>
      <w:r w:rsidR="005F0C11" w:rsidRPr="007365A4">
        <w:t>have shown potential in different medical fields, presenting anti-inflammatory (Saha et al., 2016), anti-allergenic (Rivera et al., 2006)</w:t>
      </w:r>
      <w:r w:rsidR="00C36972" w:rsidRPr="007365A4">
        <w:t xml:space="preserve">, </w:t>
      </w:r>
      <w:r w:rsidR="005F0C11" w:rsidRPr="007365A4">
        <w:t xml:space="preserve">antioxidant (Du et al., 2018) </w:t>
      </w:r>
      <w:r w:rsidR="00E32B1B" w:rsidRPr="007365A4">
        <w:t xml:space="preserve">or anticancer (Mei et al., 2012) </w:t>
      </w:r>
      <w:r w:rsidR="005F0C11" w:rsidRPr="007365A4">
        <w:t>properties</w:t>
      </w:r>
      <w:r w:rsidR="003A52E1" w:rsidRPr="007365A4">
        <w:t xml:space="preserve"> among other</w:t>
      </w:r>
      <w:r w:rsidR="00A33189" w:rsidRPr="007365A4">
        <w:t xml:space="preserve">s. </w:t>
      </w:r>
      <w:r w:rsidR="00CE5AD5" w:rsidRPr="007365A4">
        <w:t>A recent st</w:t>
      </w:r>
      <w:r w:rsidR="003D40CB" w:rsidRPr="007365A4">
        <w:t xml:space="preserve">udy </w:t>
      </w:r>
      <w:r w:rsidR="00BC576B" w:rsidRPr="007365A4">
        <w:t>evidences</w:t>
      </w:r>
      <w:r w:rsidR="00EE1398" w:rsidRPr="007365A4">
        <w:t xml:space="preserve"> the </w:t>
      </w:r>
      <w:r w:rsidR="00F437ED" w:rsidRPr="007365A4">
        <w:t>pro-angi</w:t>
      </w:r>
      <w:r w:rsidR="00FC44E2" w:rsidRPr="007365A4">
        <w:t xml:space="preserve">ogenic and anti-apoptotic effect of mango leaf extract </w:t>
      </w:r>
      <w:r w:rsidR="008C54CA" w:rsidRPr="007365A4">
        <w:t xml:space="preserve">over </w:t>
      </w:r>
      <w:r w:rsidR="003309C8" w:rsidRPr="007365A4">
        <w:t>endothelial colony-forming cells</w:t>
      </w:r>
      <w:r w:rsidR="008C54CA" w:rsidRPr="007365A4">
        <w:t xml:space="preserve"> </w:t>
      </w:r>
      <w:r w:rsidR="00FC44E2" w:rsidRPr="007365A4">
        <w:t>(</w:t>
      </w:r>
      <w:r w:rsidR="002C56B1" w:rsidRPr="007365A4">
        <w:t>Sánchez-</w:t>
      </w:r>
      <w:r w:rsidR="009A35CC" w:rsidRPr="007365A4">
        <w:t>Gomar et al</w:t>
      </w:r>
      <w:r w:rsidR="008C54CA" w:rsidRPr="007365A4">
        <w:t>, 2022</w:t>
      </w:r>
      <w:r w:rsidR="00FC44E2" w:rsidRPr="007365A4">
        <w:t>)</w:t>
      </w:r>
      <w:r w:rsidR="00161016" w:rsidRPr="007365A4">
        <w:t xml:space="preserve">, </w:t>
      </w:r>
      <w:r w:rsidR="00BC576B" w:rsidRPr="007365A4">
        <w:t>pointing this extract as</w:t>
      </w:r>
      <w:r w:rsidR="009A35CC" w:rsidRPr="007365A4">
        <w:t xml:space="preserve"> a good candidate for </w:t>
      </w:r>
      <w:r w:rsidR="008C54CA" w:rsidRPr="007365A4">
        <w:t xml:space="preserve">its </w:t>
      </w:r>
      <w:r w:rsidR="009A35CC" w:rsidRPr="007365A4">
        <w:t xml:space="preserve">addition </w:t>
      </w:r>
      <w:r w:rsidR="008C54CA" w:rsidRPr="007365A4">
        <w:t>in</w:t>
      </w:r>
      <w:r w:rsidR="009A35CC" w:rsidRPr="007365A4">
        <w:t xml:space="preserve">to biomedical </w:t>
      </w:r>
      <w:r w:rsidR="00312D5A" w:rsidRPr="007365A4">
        <w:t>devices</w:t>
      </w:r>
      <w:r w:rsidR="000C0EA8" w:rsidRPr="007365A4">
        <w:t xml:space="preserve"> for </w:t>
      </w:r>
      <w:r w:rsidR="00BC576B" w:rsidRPr="007365A4">
        <w:t xml:space="preserve">the </w:t>
      </w:r>
      <w:r w:rsidR="00B66CFD" w:rsidRPr="007365A4">
        <w:t>tissular</w:t>
      </w:r>
      <w:r w:rsidR="000C0EA8" w:rsidRPr="007365A4">
        <w:t xml:space="preserve"> </w:t>
      </w:r>
      <w:r w:rsidR="00B66CFD" w:rsidRPr="007365A4">
        <w:t>engineer</w:t>
      </w:r>
      <w:r w:rsidR="008C54CA" w:rsidRPr="007365A4">
        <w:t>.</w:t>
      </w:r>
    </w:p>
    <w:p w14:paraId="61FCF924" w14:textId="6994108C" w:rsidR="00370A6E" w:rsidRPr="007365A4" w:rsidRDefault="00BF6CB3" w:rsidP="005A3534">
      <w:pPr>
        <w:pStyle w:val="CETBodytext"/>
      </w:pPr>
      <w:r>
        <w:lastRenderedPageBreak/>
        <w:t>Numerous polymers can</w:t>
      </w:r>
      <w:r w:rsidR="00977D59" w:rsidRPr="007365A4">
        <w:t xml:space="preserve"> be used in the biomedical </w:t>
      </w:r>
      <w:r w:rsidR="008A333B" w:rsidRPr="007365A4">
        <w:t>field</w:t>
      </w:r>
      <w:r w:rsidR="00977D59" w:rsidRPr="007365A4">
        <w:t xml:space="preserve">, </w:t>
      </w:r>
      <w:r w:rsidR="00A92959">
        <w:t>including</w:t>
      </w:r>
      <w:r w:rsidR="00977D59" w:rsidRPr="007365A4">
        <w:t xml:space="preserve"> polylactic acid (PLA) and thermoplastic polyurethane (TPU)</w:t>
      </w:r>
      <w:r w:rsidR="00F576B2" w:rsidRPr="007365A4">
        <w:t>.</w:t>
      </w:r>
      <w:r w:rsidR="00977D59" w:rsidRPr="007365A4">
        <w:t xml:space="preserve"> </w:t>
      </w:r>
      <w:r w:rsidR="0075188D" w:rsidRPr="007365A4">
        <w:t xml:space="preserve">PLA </w:t>
      </w:r>
      <w:r w:rsidR="005E5599" w:rsidRPr="007365A4">
        <w:t>is a leading material for biomedical applications, it</w:t>
      </w:r>
      <w:r w:rsidR="0085255E" w:rsidRPr="007365A4">
        <w:t xml:space="preserve"> i</w:t>
      </w:r>
      <w:r w:rsidR="005E5599" w:rsidRPr="007365A4">
        <w:t xml:space="preserve">s </w:t>
      </w:r>
      <w:r w:rsidR="0085255E" w:rsidRPr="007365A4">
        <w:t xml:space="preserve">widely </w:t>
      </w:r>
      <w:r w:rsidR="005E5599" w:rsidRPr="007365A4">
        <w:t xml:space="preserve">used </w:t>
      </w:r>
      <w:r w:rsidR="00B97A05" w:rsidRPr="007365A4">
        <w:t>for scaffolds, blood v</w:t>
      </w:r>
      <w:r w:rsidR="00D53DD8" w:rsidRPr="007365A4">
        <w:t>e</w:t>
      </w:r>
      <w:r w:rsidR="00B97A05" w:rsidRPr="007365A4">
        <w:t>ssels, organs</w:t>
      </w:r>
      <w:r>
        <w:t>,</w:t>
      </w:r>
      <w:r w:rsidR="00B97A05" w:rsidRPr="007365A4">
        <w:t xml:space="preserve"> and skin regeneration</w:t>
      </w:r>
      <w:r w:rsidR="00D53DD8" w:rsidRPr="007365A4">
        <w:t xml:space="preserve"> (Liu et al., 2020). </w:t>
      </w:r>
      <w:r w:rsidR="00BC576B" w:rsidRPr="007365A4">
        <w:t>On the other hand</w:t>
      </w:r>
      <w:r w:rsidR="0085255E" w:rsidRPr="007365A4">
        <w:t xml:space="preserve">, TPU </w:t>
      </w:r>
      <w:r w:rsidR="002C3671" w:rsidRPr="007365A4">
        <w:t>also plays</w:t>
      </w:r>
      <w:r w:rsidR="003D7AB7" w:rsidRPr="007365A4">
        <w:t xml:space="preserve"> </w:t>
      </w:r>
      <w:r w:rsidR="003C461E">
        <w:t>a vital</w:t>
      </w:r>
      <w:r w:rsidR="003D7AB7" w:rsidRPr="007365A4">
        <w:t xml:space="preserve"> role in the de</w:t>
      </w:r>
      <w:r w:rsidR="00CE608E" w:rsidRPr="007365A4">
        <w:t xml:space="preserve">velopment of </w:t>
      </w:r>
      <w:r w:rsidR="00964D47" w:rsidRPr="007365A4">
        <w:t xml:space="preserve">vascular and other </w:t>
      </w:r>
      <w:r w:rsidR="00CE608E" w:rsidRPr="007365A4">
        <w:t xml:space="preserve">medical </w:t>
      </w:r>
      <w:r w:rsidR="00BE03BE" w:rsidRPr="007365A4">
        <w:t xml:space="preserve">implantable </w:t>
      </w:r>
      <w:r w:rsidR="00CE608E" w:rsidRPr="007365A4">
        <w:t>devices</w:t>
      </w:r>
      <w:r w:rsidR="00BE03BE" w:rsidRPr="007365A4">
        <w:t xml:space="preserve"> (M’Bengue et al., 2023)</w:t>
      </w:r>
      <w:r w:rsidR="003C461E">
        <w:t>.</w:t>
      </w:r>
    </w:p>
    <w:p w14:paraId="5422DB9D" w14:textId="4EB99BE9" w:rsidR="00977D59" w:rsidRPr="007365A4" w:rsidRDefault="00446348" w:rsidP="005A3534">
      <w:pPr>
        <w:pStyle w:val="CETBodytext"/>
      </w:pPr>
      <w:r>
        <w:t>Regarding</w:t>
      </w:r>
      <w:r w:rsidR="00BC576B" w:rsidRPr="007365A4">
        <w:t xml:space="preserve"> </w:t>
      </w:r>
      <w:r w:rsidR="00DC5DDC" w:rsidRPr="007365A4">
        <w:t xml:space="preserve">the addition of active substances in polymers, </w:t>
      </w:r>
      <w:r w:rsidR="00BC576B" w:rsidRPr="007365A4">
        <w:t>n</w:t>
      </w:r>
      <w:r w:rsidR="00DC5DDC" w:rsidRPr="007365A4">
        <w:t>ew impregnation techniques</w:t>
      </w:r>
      <w:r w:rsidR="00BC576B" w:rsidRPr="007365A4">
        <w:t>,</w:t>
      </w:r>
      <w:r w:rsidR="00DC5DDC" w:rsidRPr="007365A4">
        <w:t xml:space="preserve"> more effective and ecological than the traditional ones</w:t>
      </w:r>
      <w:r w:rsidR="00BC576B" w:rsidRPr="007365A4">
        <w:t>, have been developed</w:t>
      </w:r>
      <w:r w:rsidR="00917650">
        <w:t xml:space="preserve"> in recent years</w:t>
      </w:r>
      <w:r w:rsidR="00DC5DDC" w:rsidRPr="007365A4">
        <w:t>. Among these techniques</w:t>
      </w:r>
      <w:r w:rsidR="0077685A">
        <w:t>,</w:t>
      </w:r>
      <w:r w:rsidR="00BC576B" w:rsidRPr="007365A4">
        <w:t xml:space="preserve"> the</w:t>
      </w:r>
      <w:r w:rsidR="00F32D26">
        <w:t xml:space="preserve"> </w:t>
      </w:r>
      <w:r w:rsidR="005E13C4">
        <w:t>supercritical solvent impregnation (SSI)</w:t>
      </w:r>
      <w:r w:rsidR="00F32D26">
        <w:t xml:space="preserve"> us</w:t>
      </w:r>
      <w:r w:rsidR="00DC5DDC" w:rsidRPr="007365A4">
        <w:t>es solvents at high pressure</w:t>
      </w:r>
      <w:r w:rsidR="003E67E9">
        <w:t>,</w:t>
      </w:r>
      <w:r w:rsidR="00DC5DDC" w:rsidRPr="007365A4">
        <w:t xml:space="preserve"> such as supercritical CO</w:t>
      </w:r>
      <w:r w:rsidR="00DC5DDC" w:rsidRPr="007365A4">
        <w:rPr>
          <w:vertAlign w:val="subscript"/>
        </w:rPr>
        <w:t>2</w:t>
      </w:r>
      <w:r w:rsidR="00DC5DDC" w:rsidRPr="007365A4">
        <w:t xml:space="preserve"> </w:t>
      </w:r>
      <w:r w:rsidR="00BC576B" w:rsidRPr="007365A4">
        <w:t>alone or in</w:t>
      </w:r>
      <w:r w:rsidR="00DC5DDC" w:rsidRPr="007365A4">
        <w:t xml:space="preserve"> mixtures </w:t>
      </w:r>
      <w:r w:rsidR="00BC576B" w:rsidRPr="007365A4">
        <w:t>with cosolvents like</w:t>
      </w:r>
      <w:r w:rsidR="00DC5DDC" w:rsidRPr="007365A4">
        <w:t xml:space="preserve"> ethanol</w:t>
      </w:r>
      <w:r w:rsidR="00BC576B" w:rsidRPr="007365A4">
        <w:t xml:space="preserve"> mainly</w:t>
      </w:r>
      <w:r w:rsidR="00DC5DDC" w:rsidRPr="007365A4">
        <w:t xml:space="preserve"> (Zalepugin et al., 2020).</w:t>
      </w:r>
      <w:r w:rsidR="00EB11B3" w:rsidRPr="007365A4">
        <w:t xml:space="preserve"> </w:t>
      </w:r>
      <w:r w:rsidR="00E414CF" w:rsidRPr="007365A4">
        <w:t>Supercritical CO</w:t>
      </w:r>
      <w:r w:rsidR="00E414CF" w:rsidRPr="007365A4">
        <w:rPr>
          <w:vertAlign w:val="subscript"/>
        </w:rPr>
        <w:t>2</w:t>
      </w:r>
      <w:r w:rsidR="00E414CF" w:rsidRPr="007365A4">
        <w:t xml:space="preserve"> can dissolve the active substances and transport them into the polymeric matrices, escaping when it returns to its gaseous form and while these substances remain trapped.</w:t>
      </w:r>
      <w:r w:rsidR="00BB3478" w:rsidRPr="007365A4">
        <w:t xml:space="preserve"> </w:t>
      </w:r>
      <w:r w:rsidR="00BB2A95" w:rsidRPr="007365A4">
        <w:t>Thus, the use of supercritical impregnation in biomedicine is a</w:t>
      </w:r>
      <w:r w:rsidR="00BC773D">
        <w:t>n essen</w:t>
      </w:r>
      <w:r w:rsidR="00624E2B">
        <w:t>tial</w:t>
      </w:r>
      <w:r w:rsidR="00BB2A95" w:rsidRPr="007365A4">
        <w:t xml:space="preserve"> tool since it solves two limiting problems in us</w:t>
      </w:r>
      <w:r w:rsidR="00624E2B">
        <w:t>ing</w:t>
      </w:r>
      <w:r w:rsidR="00BB2A95" w:rsidRPr="007365A4">
        <w:t xml:space="preserve"> organic solvents</w:t>
      </w:r>
      <w:r w:rsidR="007D5F9F" w:rsidRPr="007365A4">
        <w:t>. Firstly,</w:t>
      </w:r>
      <w:r w:rsidR="00BB2A95" w:rsidRPr="007365A4">
        <w:t xml:space="preserve"> it allows greater penetration of the compound of interest in</w:t>
      </w:r>
      <w:r w:rsidR="007D5F9F" w:rsidRPr="007365A4">
        <w:t>to</w:t>
      </w:r>
      <w:r w:rsidR="00BB2A95" w:rsidRPr="007365A4">
        <w:t xml:space="preserve"> the polymer, which translates into a higher load</w:t>
      </w:r>
      <w:r w:rsidR="007430BF" w:rsidRPr="007365A4">
        <w:t>ing</w:t>
      </w:r>
      <w:r w:rsidR="00BB2A95" w:rsidRPr="007365A4">
        <w:t xml:space="preserve">. Secondly, the use of organic solvents </w:t>
      </w:r>
      <w:r w:rsidR="007D5F9F" w:rsidRPr="007365A4">
        <w:t>requires</w:t>
      </w:r>
      <w:r w:rsidR="00BB2A95" w:rsidRPr="007365A4">
        <w:t xml:space="preserve"> </w:t>
      </w:r>
      <w:r w:rsidR="007D5F9F" w:rsidRPr="007365A4">
        <w:t>further elimination</w:t>
      </w:r>
      <w:r w:rsidR="00BB2A95" w:rsidRPr="007365A4">
        <w:t xml:space="preserve"> by high temperatures</w:t>
      </w:r>
      <w:r w:rsidR="007D5F9F" w:rsidRPr="007365A4">
        <w:t xml:space="preserve"> that</w:t>
      </w:r>
      <w:r w:rsidR="00BB2A95" w:rsidRPr="007365A4">
        <w:t xml:space="preserve"> can damage the polymeric devices</w:t>
      </w:r>
      <w:r w:rsidR="007D5F9F" w:rsidRPr="007365A4">
        <w:t>. However, supercritical CO</w:t>
      </w:r>
      <w:r w:rsidR="007D5F9F" w:rsidRPr="007365A4">
        <w:rPr>
          <w:vertAlign w:val="subscript"/>
        </w:rPr>
        <w:t>2</w:t>
      </w:r>
      <w:r w:rsidR="007D5F9F" w:rsidRPr="007365A4">
        <w:t xml:space="preserve"> impregnation does not need further treatments</w:t>
      </w:r>
      <w:r w:rsidR="00A62F53">
        <w:t>,</w:t>
      </w:r>
      <w:r w:rsidR="00BB2A95" w:rsidRPr="007365A4">
        <w:t xml:space="preserve"> </w:t>
      </w:r>
      <w:r w:rsidR="00556ED1" w:rsidRPr="007365A4">
        <w:t>so the polymers are ready to use</w:t>
      </w:r>
      <w:r w:rsidR="007430BF" w:rsidRPr="007365A4">
        <w:t xml:space="preserve"> after processing</w:t>
      </w:r>
      <w:r w:rsidR="00556ED1" w:rsidRPr="007365A4">
        <w:t xml:space="preserve"> </w:t>
      </w:r>
      <w:r w:rsidR="00BB2A95" w:rsidRPr="007365A4">
        <w:t>(Liparoti et al., 2022).</w:t>
      </w:r>
    </w:p>
    <w:p w14:paraId="71A8C804" w14:textId="776E90E1" w:rsidR="008430B4" w:rsidRPr="007365A4" w:rsidRDefault="00170ABC" w:rsidP="005A3534">
      <w:pPr>
        <w:pStyle w:val="CETBodytext"/>
      </w:pPr>
      <w:r w:rsidRPr="007365A4">
        <w:t xml:space="preserve">The objective of this work </w:t>
      </w:r>
      <w:r w:rsidR="00556ED1" w:rsidRPr="007365A4">
        <w:t>is to</w:t>
      </w:r>
      <w:r w:rsidR="002C3998" w:rsidRPr="007365A4">
        <w:t xml:space="preserve"> </w:t>
      </w:r>
      <w:r w:rsidR="00556ED1" w:rsidRPr="007365A4">
        <w:t xml:space="preserve">study the effect of pressure in the impregnation process of a </w:t>
      </w:r>
      <w:r w:rsidR="00F3290F" w:rsidRPr="007365A4">
        <w:t>mango lea</w:t>
      </w:r>
      <w:r w:rsidR="007D5F9F" w:rsidRPr="007365A4">
        <w:t>f</w:t>
      </w:r>
      <w:r w:rsidR="00F3290F" w:rsidRPr="007365A4">
        <w:t xml:space="preserve"> extract</w:t>
      </w:r>
      <w:r w:rsidR="00677ACE" w:rsidRPr="007365A4">
        <w:t xml:space="preserve"> </w:t>
      </w:r>
      <w:r w:rsidR="0050451A" w:rsidRPr="007365A4">
        <w:t>(MLE)</w:t>
      </w:r>
      <w:r w:rsidR="00F3290F" w:rsidRPr="007365A4">
        <w:t xml:space="preserve"> </w:t>
      </w:r>
      <w:r w:rsidR="004E6F55" w:rsidRPr="007365A4">
        <w:t>with high antioxidant power</w:t>
      </w:r>
      <w:r w:rsidR="001454C3" w:rsidRPr="007365A4">
        <w:t xml:space="preserve"> into </w:t>
      </w:r>
      <w:r w:rsidR="002A5B96" w:rsidRPr="007365A4">
        <w:t>PLA and TPU</w:t>
      </w:r>
      <w:r w:rsidR="00556ED1" w:rsidRPr="007365A4">
        <w:t xml:space="preserve">, determining </w:t>
      </w:r>
      <w:r w:rsidR="008921AD" w:rsidRPr="007365A4">
        <w:t xml:space="preserve">the extract loading and </w:t>
      </w:r>
      <w:r w:rsidR="009F0513" w:rsidRPr="007365A4">
        <w:t xml:space="preserve">the </w:t>
      </w:r>
      <w:r w:rsidR="004E003D" w:rsidRPr="007365A4">
        <w:t xml:space="preserve">release </w:t>
      </w:r>
      <w:r w:rsidR="009F0513" w:rsidRPr="007365A4">
        <w:t xml:space="preserve">of </w:t>
      </w:r>
      <w:r w:rsidR="004E003D" w:rsidRPr="007365A4">
        <w:t xml:space="preserve">the impregnated </w:t>
      </w:r>
      <w:r w:rsidR="009F0513" w:rsidRPr="007365A4">
        <w:t>MLE into a saline medium</w:t>
      </w:r>
      <w:r w:rsidR="00556ED1" w:rsidRPr="007365A4">
        <w:t>,</w:t>
      </w:r>
      <w:r w:rsidR="004E0943" w:rsidRPr="007365A4">
        <w:t xml:space="preserve"> studying the evolution of the antioxidant capacity.</w:t>
      </w:r>
    </w:p>
    <w:p w14:paraId="02991A37" w14:textId="1F517D16" w:rsidR="005A3534" w:rsidRPr="007365A4" w:rsidRDefault="005A3534" w:rsidP="005A3534">
      <w:pPr>
        <w:pStyle w:val="CETHeading1"/>
        <w:tabs>
          <w:tab w:val="num" w:pos="360"/>
        </w:tabs>
        <w:rPr>
          <w:lang w:val="en-GB"/>
        </w:rPr>
      </w:pPr>
      <w:r w:rsidRPr="007365A4">
        <w:rPr>
          <w:lang w:val="en-GB"/>
        </w:rPr>
        <w:t>Materials and methods</w:t>
      </w:r>
    </w:p>
    <w:p w14:paraId="14387E6D" w14:textId="65634012" w:rsidR="005A3534" w:rsidRPr="007365A4" w:rsidRDefault="005A3534" w:rsidP="005A3534">
      <w:pPr>
        <w:pStyle w:val="CETheadingx"/>
        <w:rPr>
          <w:lang w:val="en-GB"/>
        </w:rPr>
      </w:pPr>
      <w:r w:rsidRPr="007365A4">
        <w:rPr>
          <w:lang w:val="en-GB"/>
        </w:rPr>
        <w:t>Raw materials and extract</w:t>
      </w:r>
    </w:p>
    <w:p w14:paraId="2EBF27E7" w14:textId="489519B5" w:rsidR="005A3534" w:rsidRPr="007365A4" w:rsidRDefault="005A3534" w:rsidP="005A3534">
      <w:pPr>
        <w:pStyle w:val="CETBodytext"/>
        <w:rPr>
          <w:lang w:val="en-GB"/>
        </w:rPr>
      </w:pPr>
      <w:r w:rsidRPr="007365A4">
        <w:rPr>
          <w:lang w:val="en-GB"/>
        </w:rPr>
        <w:t xml:space="preserve">For their functionalization, it was used filaments of polylactic acid (PLA), provided by bq (Madrid, Spain), and filaments of thermoplastics polyurethane (TPU), provided by Greeetech (Shenzhen, China). </w:t>
      </w:r>
    </w:p>
    <w:p w14:paraId="7457599E" w14:textId="5A246A84" w:rsidR="005A3534" w:rsidRPr="007365A4" w:rsidRDefault="004A6BF3" w:rsidP="005A3534">
      <w:pPr>
        <w:pStyle w:val="CETBodytext"/>
        <w:rPr>
          <w:lang w:val="en-GB"/>
        </w:rPr>
      </w:pPr>
      <w:r w:rsidRPr="007365A4">
        <w:rPr>
          <w:lang w:val="en-GB"/>
        </w:rPr>
        <w:t xml:space="preserve">The mango leaves extract (MLE) was </w:t>
      </w:r>
      <w:r w:rsidR="00A2458F" w:rsidRPr="007365A4">
        <w:rPr>
          <w:lang w:val="en-GB"/>
        </w:rPr>
        <w:t>achieved</w:t>
      </w:r>
      <w:r w:rsidRPr="007365A4">
        <w:rPr>
          <w:lang w:val="en-GB"/>
        </w:rPr>
        <w:t xml:space="preserve"> through </w:t>
      </w:r>
      <w:r w:rsidR="00811DD3" w:rsidRPr="007365A4">
        <w:rPr>
          <w:lang w:val="en-GB"/>
        </w:rPr>
        <w:t>Enhance Solvent Extraction (ESE)</w:t>
      </w:r>
      <w:r w:rsidRPr="007365A4">
        <w:rPr>
          <w:lang w:val="en-GB"/>
        </w:rPr>
        <w:t xml:space="preserve"> in batch mode</w:t>
      </w:r>
      <w:r w:rsidR="00F30D6C" w:rsidRPr="007365A4">
        <w:rPr>
          <w:lang w:val="en-GB"/>
        </w:rPr>
        <w:t xml:space="preserve"> in a supercritical extraction equipment provided by Thar Technologies (Pittsburgh, USA)</w:t>
      </w:r>
      <w:r w:rsidR="002367AE" w:rsidRPr="007365A4">
        <w:rPr>
          <w:lang w:val="en-GB"/>
        </w:rPr>
        <w:t xml:space="preserve"> described in </w:t>
      </w:r>
      <w:r w:rsidR="00C32AF2">
        <w:rPr>
          <w:lang w:val="en-GB"/>
        </w:rPr>
        <w:t>previous work</w:t>
      </w:r>
      <w:r w:rsidR="002367AE" w:rsidRPr="007365A4">
        <w:rPr>
          <w:lang w:val="en-GB"/>
        </w:rPr>
        <w:t xml:space="preserve"> (Verano-Naranjo et al., 2021)</w:t>
      </w:r>
      <w:r w:rsidR="00811DD3" w:rsidRPr="007365A4">
        <w:rPr>
          <w:lang w:val="en-GB"/>
        </w:rPr>
        <w:t>. About 443</w:t>
      </w:r>
      <w:r w:rsidRPr="007365A4">
        <w:rPr>
          <w:lang w:val="en-GB"/>
        </w:rPr>
        <w:t xml:space="preserve"> g of previously dried and crushed </w:t>
      </w:r>
      <w:r w:rsidRPr="007365A4">
        <w:rPr>
          <w:i/>
          <w:iCs/>
          <w:lang w:val="en-GB"/>
        </w:rPr>
        <w:t>Ma</w:t>
      </w:r>
      <w:r w:rsidR="00AD291B" w:rsidRPr="007365A4">
        <w:rPr>
          <w:i/>
          <w:iCs/>
          <w:lang w:val="en-GB"/>
        </w:rPr>
        <w:t>ng</w:t>
      </w:r>
      <w:r w:rsidRPr="007365A4">
        <w:rPr>
          <w:i/>
          <w:iCs/>
          <w:lang w:val="en-GB"/>
        </w:rPr>
        <w:t>ifera indica</w:t>
      </w:r>
      <w:r w:rsidRPr="007365A4">
        <w:rPr>
          <w:lang w:val="en-GB"/>
        </w:rPr>
        <w:t xml:space="preserve"> leaves were introduced in a 1000</w:t>
      </w:r>
      <w:r w:rsidR="00E67621" w:rsidRPr="007365A4">
        <w:rPr>
          <w:lang w:val="en-GB"/>
        </w:rPr>
        <w:t xml:space="preserve"> </w:t>
      </w:r>
      <w:r w:rsidRPr="007365A4">
        <w:rPr>
          <w:lang w:val="en-GB"/>
        </w:rPr>
        <w:t>mL vessel with 600 mL of ethanol. Then the vessel was heated up to 80 ºC and CO</w:t>
      </w:r>
      <w:r w:rsidRPr="007365A4">
        <w:rPr>
          <w:vertAlign w:val="subscript"/>
          <w:lang w:val="en-GB"/>
        </w:rPr>
        <w:t>2</w:t>
      </w:r>
      <w:r w:rsidRPr="007365A4">
        <w:rPr>
          <w:lang w:val="en-GB"/>
        </w:rPr>
        <w:t xml:space="preserve"> was pumped until reaching 200 bar pressure. After 24 </w:t>
      </w:r>
      <w:r w:rsidR="00A2458F" w:rsidRPr="007365A4">
        <w:rPr>
          <w:lang w:val="en-GB"/>
        </w:rPr>
        <w:t>hours</w:t>
      </w:r>
      <w:r w:rsidRPr="007365A4">
        <w:rPr>
          <w:lang w:val="en-GB"/>
        </w:rPr>
        <w:t xml:space="preserve"> in the same conditions, the system was depressurized and cooled and the MLE was obtained.</w:t>
      </w:r>
    </w:p>
    <w:p w14:paraId="14D33C99" w14:textId="768CE103" w:rsidR="00F576E7" w:rsidRPr="007365A4" w:rsidRDefault="006B39DD" w:rsidP="00F576E7">
      <w:pPr>
        <w:pStyle w:val="CETheadingx"/>
        <w:rPr>
          <w:lang w:val="en-GB"/>
        </w:rPr>
      </w:pPr>
      <w:r w:rsidRPr="007365A4">
        <w:rPr>
          <w:lang w:val="en-GB"/>
        </w:rPr>
        <w:t>Antioxidant capacity of the extract</w:t>
      </w:r>
    </w:p>
    <w:p w14:paraId="7CEC6B09" w14:textId="5B89A19F" w:rsidR="00F576E7" w:rsidRPr="007365A4" w:rsidRDefault="006B39DD" w:rsidP="005A3534">
      <w:pPr>
        <w:pStyle w:val="CETBodytext"/>
        <w:rPr>
          <w:lang w:val="en-GB"/>
        </w:rPr>
      </w:pPr>
      <w:r w:rsidRPr="007365A4">
        <w:rPr>
          <w:lang w:val="en-GB"/>
        </w:rPr>
        <w:t xml:space="preserve">The antioxidant capacity of the MLE </w:t>
      </w:r>
      <w:r w:rsidR="00AA2B58" w:rsidRPr="007365A4">
        <w:rPr>
          <w:lang w:val="en-GB"/>
        </w:rPr>
        <w:t xml:space="preserve">was determined by </w:t>
      </w:r>
      <w:r w:rsidRPr="007365A4">
        <w:rPr>
          <w:lang w:val="en-GB"/>
        </w:rPr>
        <w:t>the DPPH</w:t>
      </w:r>
      <w:r w:rsidR="00A70C2A" w:rsidRPr="007365A4">
        <w:rPr>
          <w:lang w:val="en-GB"/>
        </w:rPr>
        <w:t xml:space="preserve"> (2,2-diphenyl-1-picryl-hydrazyl-hydrate) free radical</w:t>
      </w:r>
      <w:r w:rsidRPr="007365A4">
        <w:rPr>
          <w:lang w:val="en-GB"/>
        </w:rPr>
        <w:t xml:space="preserve"> method</w:t>
      </w:r>
      <w:r w:rsidR="00AA2B58" w:rsidRPr="007365A4">
        <w:rPr>
          <w:lang w:val="en-GB"/>
        </w:rPr>
        <w:t>. For this determination</w:t>
      </w:r>
      <w:r w:rsidRPr="007365A4">
        <w:rPr>
          <w:lang w:val="en-GB"/>
        </w:rPr>
        <w:t xml:space="preserve">, 7 µL of </w:t>
      </w:r>
      <w:r w:rsidR="00AA2B58" w:rsidRPr="007365A4">
        <w:rPr>
          <w:lang w:val="en-GB"/>
        </w:rPr>
        <w:t>the</w:t>
      </w:r>
      <w:r w:rsidRPr="007365A4">
        <w:rPr>
          <w:lang w:val="en-GB"/>
        </w:rPr>
        <w:t xml:space="preserve"> extract at different concentrations were mixed with 293 µL of 6·10</w:t>
      </w:r>
      <w:r w:rsidRPr="007365A4">
        <w:rPr>
          <w:vertAlign w:val="superscript"/>
          <w:lang w:val="en-GB"/>
        </w:rPr>
        <w:t>-5</w:t>
      </w:r>
      <w:r w:rsidRPr="007365A4">
        <w:rPr>
          <w:lang w:val="en-GB"/>
        </w:rPr>
        <w:t xml:space="preserve"> M DPPH ethanolic solution. The absorbance at 515 nm was measured after </w:t>
      </w:r>
      <w:r w:rsidR="00D665ED" w:rsidRPr="007365A4">
        <w:rPr>
          <w:lang w:val="en-GB"/>
        </w:rPr>
        <w:t>2 hours</w:t>
      </w:r>
      <w:r w:rsidRPr="007365A4">
        <w:rPr>
          <w:lang w:val="en-GB"/>
        </w:rPr>
        <w:t>, when the reaction gets a stationary state</w:t>
      </w:r>
      <w:r w:rsidR="00E24A0E" w:rsidRPr="007365A4">
        <w:rPr>
          <w:lang w:val="en-GB"/>
        </w:rPr>
        <w:t xml:space="preserve">, in a </w:t>
      </w:r>
      <w:r w:rsidR="008C3D6E" w:rsidRPr="007365A4">
        <w:rPr>
          <w:lang w:val="en-GB"/>
        </w:rPr>
        <w:t xml:space="preserve">Synergy HTX Multi-Mode Reader </w:t>
      </w:r>
      <w:r w:rsidR="000A6511" w:rsidRPr="007365A4">
        <w:rPr>
          <w:lang w:val="en-GB"/>
        </w:rPr>
        <w:t>by</w:t>
      </w:r>
      <w:r w:rsidR="008C3D6E" w:rsidRPr="007365A4">
        <w:rPr>
          <w:lang w:val="en-GB"/>
        </w:rPr>
        <w:t xml:space="preserve"> BioTek Instruments</w:t>
      </w:r>
      <w:r w:rsidR="00C52A0E" w:rsidRPr="007365A4">
        <w:rPr>
          <w:lang w:val="en-GB"/>
        </w:rPr>
        <w:t xml:space="preserve"> (Vermont, USA)</w:t>
      </w:r>
      <w:r w:rsidRPr="007365A4">
        <w:rPr>
          <w:lang w:val="en-GB"/>
        </w:rPr>
        <w:t>.</w:t>
      </w:r>
      <w:r w:rsidR="00D665ED" w:rsidRPr="007365A4">
        <w:rPr>
          <w:lang w:val="en-GB"/>
        </w:rPr>
        <w:t xml:space="preserve"> </w:t>
      </w:r>
      <w:r w:rsidR="00C26794" w:rsidRPr="007365A4">
        <w:rPr>
          <w:lang w:val="en-GB"/>
        </w:rPr>
        <w:t xml:space="preserve">The same reaction </w:t>
      </w:r>
      <w:r w:rsidR="00556ED1" w:rsidRPr="007365A4">
        <w:rPr>
          <w:lang w:val="en-GB"/>
        </w:rPr>
        <w:t xml:space="preserve">using </w:t>
      </w:r>
      <w:r w:rsidR="00C26794" w:rsidRPr="007365A4">
        <w:rPr>
          <w:lang w:val="en-GB"/>
        </w:rPr>
        <w:t xml:space="preserve">ethanol instead </w:t>
      </w:r>
      <w:r w:rsidR="00343D02" w:rsidRPr="007365A4">
        <w:rPr>
          <w:lang w:val="en-GB"/>
        </w:rPr>
        <w:t xml:space="preserve">the </w:t>
      </w:r>
      <w:r w:rsidR="006953B5" w:rsidRPr="007365A4">
        <w:rPr>
          <w:lang w:val="en-GB"/>
        </w:rPr>
        <w:t xml:space="preserve">extract </w:t>
      </w:r>
      <w:r w:rsidR="00343D02" w:rsidRPr="007365A4">
        <w:rPr>
          <w:lang w:val="en-GB"/>
        </w:rPr>
        <w:t>serves</w:t>
      </w:r>
      <w:r w:rsidR="006953B5" w:rsidRPr="007365A4">
        <w:rPr>
          <w:lang w:val="en-GB"/>
        </w:rPr>
        <w:t xml:space="preserve"> as control</w:t>
      </w:r>
      <w:r w:rsidR="00556ED1" w:rsidRPr="007365A4">
        <w:rPr>
          <w:lang w:val="en-GB"/>
        </w:rPr>
        <w:t xml:space="preserve"> of the reaction</w:t>
      </w:r>
      <w:r w:rsidR="006953B5" w:rsidRPr="007365A4">
        <w:rPr>
          <w:lang w:val="en-GB"/>
        </w:rPr>
        <w:t>.</w:t>
      </w:r>
      <w:r w:rsidR="00343D02" w:rsidRPr="007365A4">
        <w:rPr>
          <w:lang w:val="en-GB"/>
        </w:rPr>
        <w:t xml:space="preserve"> </w:t>
      </w:r>
      <w:r w:rsidR="00397C8A" w:rsidRPr="007365A4">
        <w:rPr>
          <w:lang w:val="en-GB"/>
        </w:rPr>
        <w:t xml:space="preserve">The </w:t>
      </w:r>
      <w:r w:rsidR="00DA50A0" w:rsidRPr="007365A4">
        <w:rPr>
          <w:lang w:val="en-GB"/>
        </w:rPr>
        <w:t xml:space="preserve">percentage of oxidative inhibition was </w:t>
      </w:r>
      <w:r w:rsidR="00556ED1" w:rsidRPr="007365A4">
        <w:rPr>
          <w:lang w:val="en-GB"/>
        </w:rPr>
        <w:t>calculated</w:t>
      </w:r>
      <w:r w:rsidR="00DA50A0" w:rsidRPr="007365A4">
        <w:rPr>
          <w:lang w:val="en-GB"/>
        </w:rPr>
        <w:t xml:space="preserve"> using </w:t>
      </w:r>
      <w:r w:rsidR="00102F67" w:rsidRPr="007365A4">
        <w:rPr>
          <w:lang w:val="en-GB"/>
        </w:rPr>
        <w:t>equation 1</w:t>
      </w:r>
      <w:r w:rsidR="009A34FE" w:rsidRPr="007365A4">
        <w:rPr>
          <w:lang w:val="en-GB"/>
        </w:rPr>
        <w:t>:</w:t>
      </w:r>
    </w:p>
    <w:tbl>
      <w:tblPr>
        <w:tblW w:w="5000" w:type="pct"/>
        <w:jc w:val="right"/>
        <w:tblLook w:val="04A0" w:firstRow="1" w:lastRow="0" w:firstColumn="1" w:lastColumn="0" w:noHBand="0" w:noVBand="1"/>
      </w:tblPr>
      <w:tblGrid>
        <w:gridCol w:w="7984"/>
        <w:gridCol w:w="803"/>
      </w:tblGrid>
      <w:tr w:rsidR="006276ED" w:rsidRPr="007365A4" w14:paraId="3848AF0E" w14:textId="77777777" w:rsidTr="00B204EC">
        <w:trPr>
          <w:jc w:val="right"/>
        </w:trPr>
        <w:tc>
          <w:tcPr>
            <w:tcW w:w="7984" w:type="dxa"/>
            <w:shd w:val="clear" w:color="auto" w:fill="auto"/>
            <w:vAlign w:val="center"/>
          </w:tcPr>
          <w:p w14:paraId="0503E590" w14:textId="52A39795" w:rsidR="006276ED" w:rsidRPr="007365A4" w:rsidRDefault="006276ED" w:rsidP="00B204EC">
            <w:pPr>
              <w:pStyle w:val="CETEquation"/>
              <w:rPr>
                <w:rFonts w:cs="Arial"/>
              </w:rPr>
            </w:pPr>
            <m:oMathPara>
              <m:oMath>
                <m:r>
                  <w:rPr>
                    <w:rFonts w:ascii="Cambria Math" w:hAnsi="Cambria Math" w:cs="Arial"/>
                  </w:rPr>
                  <m:t>% oxidation inhibition=</m:t>
                </m:r>
                <m:f>
                  <m:fPr>
                    <m:ctrlPr>
                      <w:rPr>
                        <w:rFonts w:ascii="Cambria Math" w:hAnsi="Cambria Math" w:cs="Arial"/>
                        <w:i/>
                      </w:rPr>
                    </m:ctrlPr>
                  </m:fPr>
                  <m:num>
                    <m:sSub>
                      <m:sSubPr>
                        <m:ctrlPr>
                          <w:rPr>
                            <w:rFonts w:ascii="Cambria Math" w:hAnsi="Cambria Math" w:cs="Arial"/>
                            <w:i/>
                          </w:rPr>
                        </m:ctrlPr>
                      </m:sSubPr>
                      <m:e>
                        <m:r>
                          <w:rPr>
                            <w:rFonts w:ascii="Cambria Math" w:hAnsi="Cambria Math" w:cs="Arial"/>
                          </w:rPr>
                          <m:t>Abs</m:t>
                        </m:r>
                      </m:e>
                      <m:sub>
                        <m:r>
                          <w:rPr>
                            <w:rFonts w:ascii="Cambria Math" w:hAnsi="Cambria Math" w:cs="Arial"/>
                          </w:rPr>
                          <m:t>control</m:t>
                        </m:r>
                      </m:sub>
                    </m:sSub>
                    <m:r>
                      <w:rPr>
                        <w:rFonts w:ascii="Cambria Math" w:hAnsi="Cambria Math" w:cs="Arial"/>
                      </w:rPr>
                      <m:t>-</m:t>
                    </m:r>
                    <m:sSub>
                      <m:sSubPr>
                        <m:ctrlPr>
                          <w:rPr>
                            <w:rFonts w:ascii="Cambria Math" w:hAnsi="Cambria Math" w:cs="Arial"/>
                            <w:i/>
                          </w:rPr>
                        </m:ctrlPr>
                      </m:sSubPr>
                      <m:e>
                        <m:r>
                          <w:rPr>
                            <w:rFonts w:ascii="Cambria Math" w:hAnsi="Cambria Math" w:cs="Arial"/>
                          </w:rPr>
                          <m:t>Abs</m:t>
                        </m:r>
                      </m:e>
                      <m:sub>
                        <m:r>
                          <w:rPr>
                            <w:rFonts w:ascii="Cambria Math" w:hAnsi="Cambria Math" w:cs="Arial"/>
                          </w:rPr>
                          <m:t>test</m:t>
                        </m:r>
                      </m:sub>
                    </m:sSub>
                  </m:num>
                  <m:den>
                    <m:sSub>
                      <m:sSubPr>
                        <m:ctrlPr>
                          <w:rPr>
                            <w:rFonts w:ascii="Cambria Math" w:hAnsi="Cambria Math" w:cs="Arial"/>
                            <w:i/>
                          </w:rPr>
                        </m:ctrlPr>
                      </m:sSubPr>
                      <m:e>
                        <m:r>
                          <w:rPr>
                            <w:rFonts w:ascii="Cambria Math" w:hAnsi="Cambria Math" w:cs="Arial"/>
                          </w:rPr>
                          <m:t>Abs</m:t>
                        </m:r>
                      </m:e>
                      <m:sub>
                        <m:r>
                          <w:rPr>
                            <w:rFonts w:ascii="Cambria Math" w:hAnsi="Cambria Math" w:cs="Arial"/>
                          </w:rPr>
                          <m:t>control</m:t>
                        </m:r>
                      </m:sub>
                    </m:sSub>
                  </m:den>
                </m:f>
              </m:oMath>
            </m:oMathPara>
          </w:p>
        </w:tc>
        <w:tc>
          <w:tcPr>
            <w:tcW w:w="803" w:type="dxa"/>
            <w:shd w:val="clear" w:color="auto" w:fill="auto"/>
            <w:vAlign w:val="center"/>
          </w:tcPr>
          <w:p w14:paraId="018A78CB" w14:textId="12BD7303" w:rsidR="006276ED" w:rsidRPr="007365A4" w:rsidRDefault="006276ED" w:rsidP="00B204EC">
            <w:pPr>
              <w:pStyle w:val="CETEquation"/>
              <w:jc w:val="right"/>
              <w:rPr>
                <w:rFonts w:cs="Arial"/>
              </w:rPr>
            </w:pPr>
            <w:r w:rsidRPr="007365A4">
              <w:rPr>
                <w:rFonts w:cs="Arial"/>
              </w:rPr>
              <w:t>(1)</w:t>
            </w:r>
          </w:p>
        </w:tc>
      </w:tr>
    </w:tbl>
    <w:p w14:paraId="72BB54C7" w14:textId="5F006A83" w:rsidR="006276ED" w:rsidRPr="007365A4" w:rsidRDefault="00061020" w:rsidP="005A3534">
      <w:pPr>
        <w:pStyle w:val="CETBodytext"/>
        <w:rPr>
          <w:lang w:val="en-GB"/>
        </w:rPr>
      </w:pPr>
      <w:r w:rsidRPr="007365A4">
        <w:rPr>
          <w:lang w:val="en-GB"/>
        </w:rPr>
        <w:t xml:space="preserve">The antioxidant activity index </w:t>
      </w:r>
      <w:r w:rsidR="00C92E4E" w:rsidRPr="007365A4">
        <w:rPr>
          <w:lang w:val="en-GB"/>
        </w:rPr>
        <w:t xml:space="preserve">was calculated by equation </w:t>
      </w:r>
      <w:r w:rsidR="008356F6" w:rsidRPr="007365A4">
        <w:rPr>
          <w:lang w:val="en-GB"/>
        </w:rPr>
        <w:t>2</w:t>
      </w:r>
      <w:r w:rsidR="0041457D" w:rsidRPr="007365A4">
        <w:rPr>
          <w:lang w:val="en-GB"/>
        </w:rPr>
        <w:t xml:space="preserve">, in </w:t>
      </w:r>
      <w:r w:rsidR="00AD240A" w:rsidRPr="007365A4">
        <w:rPr>
          <w:lang w:val="en-GB"/>
        </w:rPr>
        <w:t>which</w:t>
      </w:r>
      <w:r w:rsidR="0041457D" w:rsidRPr="007365A4">
        <w:rPr>
          <w:lang w:val="en-GB"/>
        </w:rPr>
        <w:t xml:space="preserve"> </w:t>
      </w:r>
      <w:r w:rsidR="00324E0E" w:rsidRPr="007365A4">
        <w:rPr>
          <w:lang w:val="en-GB"/>
        </w:rPr>
        <w:t>IC</w:t>
      </w:r>
      <w:r w:rsidR="00324E0E" w:rsidRPr="007365A4">
        <w:rPr>
          <w:vertAlign w:val="subscript"/>
          <w:lang w:val="en-GB"/>
        </w:rPr>
        <w:t>50</w:t>
      </w:r>
      <w:r w:rsidR="00AD240A" w:rsidRPr="007365A4">
        <w:rPr>
          <w:lang w:val="en-GB"/>
        </w:rPr>
        <w:t xml:space="preserve"> is </w:t>
      </w:r>
      <w:r w:rsidR="00324E0E" w:rsidRPr="007365A4">
        <w:rPr>
          <w:lang w:val="en-GB"/>
        </w:rPr>
        <w:t>the concentration of MLE necessary for an oxidation inhibition of 50 % and [DPPH]</w:t>
      </w:r>
      <w:r w:rsidR="00324E0E" w:rsidRPr="007365A4">
        <w:rPr>
          <w:vertAlign w:val="subscript"/>
          <w:lang w:val="en-GB"/>
        </w:rPr>
        <w:t>r</w:t>
      </w:r>
      <w:r w:rsidR="00B938E4" w:rsidRPr="007365A4">
        <w:rPr>
          <w:lang w:val="en-GB"/>
        </w:rPr>
        <w:t xml:space="preserve"> is the final concentration of the free radical in the reaction medium.</w:t>
      </w:r>
    </w:p>
    <w:tbl>
      <w:tblPr>
        <w:tblW w:w="5000" w:type="pct"/>
        <w:jc w:val="right"/>
        <w:tblLook w:val="04A0" w:firstRow="1" w:lastRow="0" w:firstColumn="1" w:lastColumn="0" w:noHBand="0" w:noVBand="1"/>
      </w:tblPr>
      <w:tblGrid>
        <w:gridCol w:w="7984"/>
        <w:gridCol w:w="803"/>
      </w:tblGrid>
      <w:tr w:rsidR="00B938E4" w:rsidRPr="007365A4" w14:paraId="06B2DD24" w14:textId="77777777" w:rsidTr="00B204EC">
        <w:trPr>
          <w:jc w:val="right"/>
        </w:trPr>
        <w:tc>
          <w:tcPr>
            <w:tcW w:w="7984" w:type="dxa"/>
            <w:shd w:val="clear" w:color="auto" w:fill="auto"/>
            <w:vAlign w:val="center"/>
          </w:tcPr>
          <w:p w14:paraId="0A26BA11" w14:textId="21AE589A" w:rsidR="00B938E4" w:rsidRPr="007365A4" w:rsidRDefault="00B938E4" w:rsidP="00B204EC">
            <w:pPr>
              <w:pStyle w:val="CETEquation"/>
              <w:rPr>
                <w:rFonts w:cs="Arial"/>
              </w:rPr>
            </w:pPr>
            <m:oMathPara>
              <m:oMath>
                <m:r>
                  <w:rPr>
                    <w:rFonts w:ascii="Cambria Math" w:hAnsi="Cambria Math" w:cs="Arial"/>
                  </w:rPr>
                  <m:t>AAI=</m:t>
                </m:r>
                <m:f>
                  <m:fPr>
                    <m:ctrlPr>
                      <w:rPr>
                        <w:rFonts w:ascii="Cambria Math" w:hAnsi="Cambria Math" w:cs="Arial"/>
                        <w:i/>
                      </w:rPr>
                    </m:ctrlPr>
                  </m:fPr>
                  <m:num>
                    <m:sSub>
                      <m:sSubPr>
                        <m:ctrlPr>
                          <w:rPr>
                            <w:rFonts w:ascii="Cambria Math" w:hAnsi="Cambria Math" w:cs="Arial"/>
                            <w:i/>
                          </w:rPr>
                        </m:ctrlPr>
                      </m:sSubPr>
                      <m:e>
                        <m:r>
                          <w:rPr>
                            <w:rFonts w:ascii="Cambria Math" w:hAnsi="Cambria Math" w:cs="Arial"/>
                          </w:rPr>
                          <m:t>[DPPH]</m:t>
                        </m:r>
                      </m:e>
                      <m:sub>
                        <m:r>
                          <w:rPr>
                            <w:rFonts w:ascii="Cambria Math" w:hAnsi="Cambria Math" w:cs="Arial"/>
                          </w:rPr>
                          <m:t>r</m:t>
                        </m:r>
                      </m:sub>
                    </m:sSub>
                  </m:num>
                  <m:den>
                    <m:sSub>
                      <m:sSubPr>
                        <m:ctrlPr>
                          <w:rPr>
                            <w:rFonts w:ascii="Cambria Math" w:hAnsi="Cambria Math" w:cs="Arial"/>
                            <w:i/>
                          </w:rPr>
                        </m:ctrlPr>
                      </m:sSubPr>
                      <m:e>
                        <m:r>
                          <w:rPr>
                            <w:rFonts w:ascii="Cambria Math" w:hAnsi="Cambria Math" w:cs="Arial"/>
                          </w:rPr>
                          <m:t>IC</m:t>
                        </m:r>
                      </m:e>
                      <m:sub>
                        <m:r>
                          <w:rPr>
                            <w:rFonts w:ascii="Cambria Math" w:hAnsi="Cambria Math" w:cs="Arial"/>
                          </w:rPr>
                          <m:t>50</m:t>
                        </m:r>
                      </m:sub>
                    </m:sSub>
                  </m:den>
                </m:f>
              </m:oMath>
            </m:oMathPara>
          </w:p>
        </w:tc>
        <w:tc>
          <w:tcPr>
            <w:tcW w:w="803" w:type="dxa"/>
            <w:shd w:val="clear" w:color="auto" w:fill="auto"/>
            <w:vAlign w:val="center"/>
          </w:tcPr>
          <w:p w14:paraId="0ABCC3DE" w14:textId="2E03061F" w:rsidR="00B938E4" w:rsidRPr="007365A4" w:rsidRDefault="00B938E4" w:rsidP="00B204EC">
            <w:pPr>
              <w:pStyle w:val="CETEquation"/>
              <w:jc w:val="right"/>
              <w:rPr>
                <w:rFonts w:cs="Arial"/>
              </w:rPr>
            </w:pPr>
            <w:r w:rsidRPr="007365A4">
              <w:rPr>
                <w:rFonts w:cs="Arial"/>
              </w:rPr>
              <w:t>(</w:t>
            </w:r>
            <w:r w:rsidR="008356F6" w:rsidRPr="007365A4">
              <w:rPr>
                <w:rFonts w:cs="Arial"/>
              </w:rPr>
              <w:t>2</w:t>
            </w:r>
            <w:r w:rsidRPr="007365A4">
              <w:rPr>
                <w:rFonts w:cs="Arial"/>
              </w:rPr>
              <w:t>)</w:t>
            </w:r>
          </w:p>
        </w:tc>
      </w:tr>
    </w:tbl>
    <w:p w14:paraId="3C891374" w14:textId="5D9C36C6" w:rsidR="004A6BF3" w:rsidRPr="007365A4" w:rsidRDefault="00A2458F" w:rsidP="00A2458F">
      <w:pPr>
        <w:pStyle w:val="CETheadingx"/>
        <w:rPr>
          <w:lang w:val="en-GB"/>
        </w:rPr>
      </w:pPr>
      <w:r w:rsidRPr="007365A4">
        <w:rPr>
          <w:lang w:val="en-GB"/>
        </w:rPr>
        <w:t>Impregnation of the polymers</w:t>
      </w:r>
    </w:p>
    <w:p w14:paraId="54623F84" w14:textId="3B08B7BD" w:rsidR="00D21EBA" w:rsidRPr="007365A4" w:rsidRDefault="00F30D6C" w:rsidP="007365A4">
      <w:pPr>
        <w:pStyle w:val="Default"/>
        <w:jc w:val="both"/>
        <w:rPr>
          <w:rFonts w:ascii="Arial" w:eastAsia="Times New Roman" w:hAnsi="Arial" w:cs="Times New Roman"/>
          <w:color w:val="auto"/>
          <w:sz w:val="18"/>
          <w:szCs w:val="20"/>
          <w:lang w:val="en-GB"/>
        </w:rPr>
      </w:pPr>
      <w:r w:rsidRPr="007365A4">
        <w:rPr>
          <w:rFonts w:ascii="Arial" w:eastAsia="Times New Roman" w:hAnsi="Arial" w:cs="Times New Roman"/>
          <w:color w:val="auto"/>
          <w:sz w:val="18"/>
          <w:szCs w:val="20"/>
          <w:lang w:val="en-GB"/>
        </w:rPr>
        <w:t>T</w:t>
      </w:r>
      <w:r w:rsidR="00E67621" w:rsidRPr="007365A4">
        <w:rPr>
          <w:rFonts w:ascii="Arial" w:eastAsia="Times New Roman" w:hAnsi="Arial" w:cs="Times New Roman"/>
          <w:color w:val="auto"/>
          <w:sz w:val="18"/>
          <w:szCs w:val="20"/>
          <w:lang w:val="en-GB"/>
        </w:rPr>
        <w:t xml:space="preserve">he </w:t>
      </w:r>
      <w:r w:rsidR="00CE21F0" w:rsidRPr="007365A4">
        <w:rPr>
          <w:rFonts w:ascii="Arial" w:eastAsia="Times New Roman" w:hAnsi="Arial" w:cs="Times New Roman"/>
          <w:color w:val="auto"/>
          <w:sz w:val="18"/>
          <w:szCs w:val="20"/>
          <w:lang w:val="en-GB"/>
        </w:rPr>
        <w:t>SSI</w:t>
      </w:r>
      <w:r w:rsidR="00E67621" w:rsidRPr="007365A4">
        <w:rPr>
          <w:rFonts w:ascii="Arial" w:eastAsia="Times New Roman" w:hAnsi="Arial" w:cs="Times New Roman"/>
          <w:color w:val="auto"/>
          <w:sz w:val="18"/>
          <w:szCs w:val="20"/>
          <w:lang w:val="en-GB"/>
        </w:rPr>
        <w:t xml:space="preserve"> process</w:t>
      </w:r>
      <w:r w:rsidR="00CE21F0" w:rsidRPr="007365A4">
        <w:rPr>
          <w:rFonts w:ascii="Arial" w:eastAsia="Times New Roman" w:hAnsi="Arial" w:cs="Times New Roman"/>
          <w:color w:val="auto"/>
          <w:sz w:val="18"/>
          <w:szCs w:val="20"/>
          <w:lang w:val="en-GB"/>
        </w:rPr>
        <w:t xml:space="preserve"> </w:t>
      </w:r>
      <w:r w:rsidR="00556ED1" w:rsidRPr="007365A4">
        <w:rPr>
          <w:rFonts w:ascii="Arial" w:eastAsia="Times New Roman" w:hAnsi="Arial" w:cs="Times New Roman"/>
          <w:color w:val="auto"/>
          <w:sz w:val="18"/>
          <w:szCs w:val="20"/>
          <w:lang w:val="en-GB"/>
        </w:rPr>
        <w:t>was</w:t>
      </w:r>
      <w:r w:rsidR="00CE21F0" w:rsidRPr="007365A4">
        <w:rPr>
          <w:rFonts w:ascii="Arial" w:eastAsia="Times New Roman" w:hAnsi="Arial" w:cs="Times New Roman"/>
          <w:color w:val="auto"/>
          <w:sz w:val="18"/>
          <w:szCs w:val="20"/>
          <w:lang w:val="en-GB"/>
        </w:rPr>
        <w:t xml:space="preserve"> carried out </w:t>
      </w:r>
      <w:r w:rsidR="00556ED1" w:rsidRPr="007365A4">
        <w:rPr>
          <w:rFonts w:ascii="Arial" w:eastAsia="Times New Roman" w:hAnsi="Arial" w:cs="Times New Roman"/>
          <w:color w:val="auto"/>
          <w:sz w:val="18"/>
          <w:szCs w:val="20"/>
          <w:lang w:val="en-GB"/>
        </w:rPr>
        <w:t>in similar equipment</w:t>
      </w:r>
      <w:r w:rsidR="00CE21F0" w:rsidRPr="007365A4">
        <w:rPr>
          <w:rFonts w:ascii="Arial" w:eastAsia="Times New Roman" w:hAnsi="Arial" w:cs="Times New Roman"/>
          <w:color w:val="auto"/>
          <w:sz w:val="18"/>
          <w:szCs w:val="20"/>
          <w:lang w:val="en-GB"/>
        </w:rPr>
        <w:t xml:space="preserve"> as the extraction</w:t>
      </w:r>
      <w:r w:rsidR="00556ED1" w:rsidRPr="007365A4">
        <w:rPr>
          <w:rFonts w:ascii="Arial" w:eastAsia="Times New Roman" w:hAnsi="Arial" w:cs="Times New Roman"/>
          <w:color w:val="auto"/>
          <w:sz w:val="18"/>
          <w:szCs w:val="20"/>
          <w:lang w:val="en-GB"/>
        </w:rPr>
        <w:t xml:space="preserve"> one that</w:t>
      </w:r>
      <w:r w:rsidR="00CE21F0" w:rsidRPr="007365A4">
        <w:rPr>
          <w:rFonts w:ascii="Arial" w:eastAsia="Times New Roman" w:hAnsi="Arial" w:cs="Times New Roman"/>
          <w:color w:val="auto"/>
          <w:sz w:val="18"/>
          <w:szCs w:val="20"/>
          <w:lang w:val="en-GB"/>
        </w:rPr>
        <w:t xml:space="preserve"> </w:t>
      </w:r>
      <w:r w:rsidR="00556ED1" w:rsidRPr="007365A4">
        <w:rPr>
          <w:rFonts w:ascii="Arial" w:eastAsia="Times New Roman" w:hAnsi="Arial" w:cs="Times New Roman"/>
          <w:color w:val="auto"/>
          <w:sz w:val="18"/>
          <w:szCs w:val="20"/>
          <w:lang w:val="en-GB"/>
        </w:rPr>
        <w:t>operates with a 100-mL vessel</w:t>
      </w:r>
      <w:r w:rsidR="00CE21F0" w:rsidRPr="007365A4">
        <w:rPr>
          <w:rFonts w:ascii="Arial" w:eastAsia="Times New Roman" w:hAnsi="Arial" w:cs="Times New Roman"/>
          <w:color w:val="auto"/>
          <w:sz w:val="18"/>
          <w:szCs w:val="20"/>
          <w:lang w:val="en-GB"/>
        </w:rPr>
        <w:t>. For this</w:t>
      </w:r>
      <w:r w:rsidR="00556ED1" w:rsidRPr="007365A4">
        <w:rPr>
          <w:rFonts w:ascii="Arial" w:eastAsia="Times New Roman" w:hAnsi="Arial" w:cs="Times New Roman"/>
          <w:color w:val="auto"/>
          <w:sz w:val="18"/>
          <w:szCs w:val="20"/>
          <w:lang w:val="en-GB"/>
        </w:rPr>
        <w:t xml:space="preserve"> purpose</w:t>
      </w:r>
      <w:r w:rsidR="00CE21F0" w:rsidRPr="007365A4">
        <w:rPr>
          <w:rFonts w:ascii="Arial" w:eastAsia="Times New Roman" w:hAnsi="Arial" w:cs="Times New Roman"/>
          <w:color w:val="auto"/>
          <w:sz w:val="18"/>
          <w:szCs w:val="20"/>
          <w:lang w:val="en-GB"/>
        </w:rPr>
        <w:t>,</w:t>
      </w:r>
      <w:r w:rsidR="00E67621" w:rsidRPr="007365A4">
        <w:rPr>
          <w:rFonts w:ascii="Arial" w:eastAsia="Times New Roman" w:hAnsi="Arial" w:cs="Times New Roman"/>
          <w:color w:val="auto"/>
          <w:sz w:val="18"/>
          <w:szCs w:val="20"/>
          <w:lang w:val="en-GB"/>
        </w:rPr>
        <w:t xml:space="preserve"> </w:t>
      </w:r>
      <w:r w:rsidR="00D21EBA" w:rsidRPr="007365A4">
        <w:rPr>
          <w:rFonts w:ascii="Arial" w:eastAsia="Times New Roman" w:hAnsi="Arial" w:cs="Times New Roman"/>
          <w:color w:val="auto"/>
          <w:sz w:val="18"/>
          <w:szCs w:val="20"/>
          <w:lang w:val="en-GB"/>
        </w:rPr>
        <w:t xml:space="preserve">3 mL of MLE were introduced </w:t>
      </w:r>
      <w:r w:rsidR="00556ED1" w:rsidRPr="007365A4">
        <w:rPr>
          <w:rFonts w:ascii="Arial" w:eastAsia="Times New Roman" w:hAnsi="Arial" w:cs="Times New Roman"/>
          <w:color w:val="auto"/>
          <w:sz w:val="18"/>
          <w:szCs w:val="20"/>
          <w:lang w:val="en-GB"/>
        </w:rPr>
        <w:t xml:space="preserve">at </w:t>
      </w:r>
      <w:r w:rsidR="00D21EBA" w:rsidRPr="007365A4">
        <w:rPr>
          <w:rFonts w:ascii="Arial" w:eastAsia="Times New Roman" w:hAnsi="Arial" w:cs="Times New Roman"/>
          <w:color w:val="auto"/>
          <w:sz w:val="18"/>
          <w:szCs w:val="20"/>
          <w:lang w:val="en-GB"/>
        </w:rPr>
        <w:t xml:space="preserve">the bottom of </w:t>
      </w:r>
      <w:r w:rsidR="00556ED1" w:rsidRPr="007365A4">
        <w:rPr>
          <w:rFonts w:ascii="Arial" w:eastAsia="Times New Roman" w:hAnsi="Arial" w:cs="Times New Roman"/>
          <w:color w:val="auto"/>
          <w:sz w:val="18"/>
          <w:szCs w:val="20"/>
          <w:lang w:val="en-GB"/>
        </w:rPr>
        <w:t>the</w:t>
      </w:r>
      <w:r w:rsidR="00D21EBA" w:rsidRPr="007365A4">
        <w:rPr>
          <w:rFonts w:ascii="Arial" w:eastAsia="Times New Roman" w:hAnsi="Arial" w:cs="Times New Roman"/>
          <w:color w:val="auto"/>
          <w:sz w:val="18"/>
          <w:szCs w:val="20"/>
          <w:lang w:val="en-GB"/>
        </w:rPr>
        <w:t xml:space="preserve"> vessel </w:t>
      </w:r>
      <w:r w:rsidR="00556ED1" w:rsidRPr="007365A4">
        <w:rPr>
          <w:rFonts w:ascii="Arial" w:eastAsia="Times New Roman" w:hAnsi="Arial" w:cs="Times New Roman"/>
          <w:color w:val="auto"/>
          <w:sz w:val="18"/>
          <w:szCs w:val="20"/>
          <w:lang w:val="en-GB"/>
        </w:rPr>
        <w:t xml:space="preserve">together </w:t>
      </w:r>
      <w:r w:rsidR="00D21EBA" w:rsidRPr="007365A4">
        <w:rPr>
          <w:rFonts w:ascii="Arial" w:eastAsia="Times New Roman" w:hAnsi="Arial" w:cs="Times New Roman"/>
          <w:color w:val="auto"/>
          <w:sz w:val="18"/>
          <w:szCs w:val="20"/>
          <w:lang w:val="en-GB"/>
        </w:rPr>
        <w:t xml:space="preserve">with </w:t>
      </w:r>
      <w:r w:rsidR="00A514E7">
        <w:rPr>
          <w:rFonts w:ascii="Arial" w:eastAsia="Times New Roman" w:hAnsi="Arial" w:cs="Times New Roman"/>
          <w:color w:val="auto"/>
          <w:sz w:val="18"/>
          <w:szCs w:val="20"/>
          <w:lang w:val="en-GB"/>
        </w:rPr>
        <w:t>7 cm</w:t>
      </w:r>
      <w:r w:rsidR="00D21EBA" w:rsidRPr="007365A4">
        <w:rPr>
          <w:rFonts w:ascii="Arial" w:eastAsia="Times New Roman" w:hAnsi="Arial" w:cs="Times New Roman"/>
          <w:color w:val="auto"/>
          <w:sz w:val="18"/>
          <w:szCs w:val="20"/>
          <w:lang w:val="en-GB"/>
        </w:rPr>
        <w:t xml:space="preserve"> </w:t>
      </w:r>
      <w:r w:rsidR="00E67621" w:rsidRPr="007365A4">
        <w:rPr>
          <w:rFonts w:ascii="Arial" w:eastAsia="Times New Roman" w:hAnsi="Arial" w:cs="Times New Roman"/>
          <w:color w:val="auto"/>
          <w:sz w:val="18"/>
          <w:szCs w:val="20"/>
          <w:lang w:val="en-GB"/>
        </w:rPr>
        <w:t>pi</w:t>
      </w:r>
      <w:r w:rsidR="00D21EBA" w:rsidRPr="007365A4">
        <w:rPr>
          <w:rFonts w:ascii="Arial" w:eastAsia="Times New Roman" w:hAnsi="Arial" w:cs="Times New Roman"/>
          <w:color w:val="auto"/>
          <w:sz w:val="18"/>
          <w:szCs w:val="20"/>
          <w:lang w:val="en-GB"/>
        </w:rPr>
        <w:t>e</w:t>
      </w:r>
      <w:r w:rsidR="00E67621" w:rsidRPr="007365A4">
        <w:rPr>
          <w:rFonts w:ascii="Arial" w:eastAsia="Times New Roman" w:hAnsi="Arial" w:cs="Times New Roman"/>
          <w:color w:val="auto"/>
          <w:sz w:val="18"/>
          <w:szCs w:val="20"/>
          <w:lang w:val="en-GB"/>
        </w:rPr>
        <w:t>ces of polymer filamen</w:t>
      </w:r>
      <w:r w:rsidR="00D21EBA" w:rsidRPr="007365A4">
        <w:rPr>
          <w:rFonts w:ascii="Arial" w:eastAsia="Times New Roman" w:hAnsi="Arial" w:cs="Times New Roman"/>
          <w:color w:val="auto"/>
          <w:sz w:val="18"/>
          <w:szCs w:val="20"/>
          <w:lang w:val="en-GB"/>
        </w:rPr>
        <w:t xml:space="preserve">ts placed on a metal basket. </w:t>
      </w:r>
      <w:r w:rsidRPr="007365A4">
        <w:rPr>
          <w:rFonts w:ascii="Arial" w:eastAsia="Times New Roman" w:hAnsi="Arial" w:cs="Times New Roman"/>
          <w:color w:val="auto"/>
          <w:sz w:val="18"/>
          <w:szCs w:val="20"/>
          <w:lang w:val="en-GB"/>
        </w:rPr>
        <w:t>The system was heated up to 35 ºC and CO</w:t>
      </w:r>
      <w:r w:rsidRPr="007365A4">
        <w:rPr>
          <w:rFonts w:ascii="Arial" w:eastAsia="Times New Roman" w:hAnsi="Arial" w:cs="Times New Roman"/>
          <w:color w:val="auto"/>
          <w:sz w:val="18"/>
          <w:szCs w:val="20"/>
          <w:vertAlign w:val="subscript"/>
          <w:lang w:val="en-GB"/>
        </w:rPr>
        <w:t>2</w:t>
      </w:r>
      <w:r w:rsidRPr="007365A4">
        <w:rPr>
          <w:rFonts w:ascii="Arial" w:eastAsia="Times New Roman" w:hAnsi="Arial" w:cs="Times New Roman"/>
          <w:color w:val="auto"/>
          <w:sz w:val="18"/>
          <w:szCs w:val="20"/>
          <w:lang w:val="en-GB"/>
        </w:rPr>
        <w:t xml:space="preserve"> was pumped until </w:t>
      </w:r>
      <w:r w:rsidR="00556ED1" w:rsidRPr="007365A4">
        <w:rPr>
          <w:rFonts w:ascii="Arial" w:eastAsia="Times New Roman" w:hAnsi="Arial" w:cs="Times New Roman"/>
          <w:color w:val="auto"/>
          <w:sz w:val="18"/>
          <w:szCs w:val="20"/>
          <w:lang w:val="en-GB"/>
        </w:rPr>
        <w:t>the set pressure (</w:t>
      </w:r>
      <w:r w:rsidRPr="007365A4">
        <w:rPr>
          <w:rFonts w:ascii="Arial" w:eastAsia="Times New Roman" w:hAnsi="Arial" w:cs="Times New Roman"/>
          <w:color w:val="auto"/>
          <w:sz w:val="18"/>
          <w:szCs w:val="20"/>
          <w:lang w:val="en-GB"/>
        </w:rPr>
        <w:t>100, 250</w:t>
      </w:r>
      <w:r w:rsidR="008E0A2B">
        <w:rPr>
          <w:rFonts w:ascii="Arial" w:eastAsia="Times New Roman" w:hAnsi="Arial" w:cs="Times New Roman"/>
          <w:color w:val="auto"/>
          <w:sz w:val="18"/>
          <w:szCs w:val="20"/>
          <w:lang w:val="en-GB"/>
        </w:rPr>
        <w:t>,</w:t>
      </w:r>
      <w:r w:rsidRPr="007365A4">
        <w:rPr>
          <w:rFonts w:ascii="Arial" w:eastAsia="Times New Roman" w:hAnsi="Arial" w:cs="Times New Roman"/>
          <w:color w:val="auto"/>
          <w:sz w:val="18"/>
          <w:szCs w:val="20"/>
          <w:lang w:val="en-GB"/>
        </w:rPr>
        <w:t xml:space="preserve"> or 400 bar</w:t>
      </w:r>
      <w:r w:rsidR="00556ED1" w:rsidRPr="007365A4">
        <w:rPr>
          <w:rFonts w:ascii="Arial" w:eastAsia="Times New Roman" w:hAnsi="Arial" w:cs="Times New Roman"/>
          <w:color w:val="auto"/>
          <w:sz w:val="18"/>
          <w:szCs w:val="20"/>
          <w:lang w:val="en-GB"/>
        </w:rPr>
        <w:t>)</w:t>
      </w:r>
      <w:r w:rsidRPr="007365A4">
        <w:rPr>
          <w:rFonts w:ascii="Arial" w:eastAsia="Times New Roman" w:hAnsi="Arial" w:cs="Times New Roman"/>
          <w:color w:val="auto"/>
          <w:sz w:val="18"/>
          <w:szCs w:val="20"/>
          <w:lang w:val="en-GB"/>
        </w:rPr>
        <w:t xml:space="preserve">. After 1 hour </w:t>
      </w:r>
      <w:r w:rsidR="00556ED1" w:rsidRPr="007365A4">
        <w:rPr>
          <w:rFonts w:ascii="Arial" w:eastAsia="Times New Roman" w:hAnsi="Arial" w:cs="Times New Roman"/>
          <w:color w:val="auto"/>
          <w:sz w:val="18"/>
          <w:szCs w:val="20"/>
          <w:lang w:val="en-GB"/>
        </w:rPr>
        <w:t>of treatment,</w:t>
      </w:r>
      <w:r w:rsidRPr="007365A4">
        <w:rPr>
          <w:rFonts w:ascii="Arial" w:eastAsia="Times New Roman" w:hAnsi="Arial" w:cs="Times New Roman"/>
          <w:color w:val="auto"/>
          <w:sz w:val="18"/>
          <w:szCs w:val="20"/>
          <w:lang w:val="en-GB"/>
        </w:rPr>
        <w:t xml:space="preserve"> the system was depressurized and cooled </w:t>
      </w:r>
      <w:r w:rsidR="00CE21F0" w:rsidRPr="007365A4">
        <w:rPr>
          <w:rFonts w:ascii="Arial" w:eastAsia="Times New Roman" w:hAnsi="Arial" w:cs="Times New Roman"/>
          <w:color w:val="auto"/>
          <w:sz w:val="18"/>
          <w:szCs w:val="20"/>
          <w:lang w:val="en-GB"/>
        </w:rPr>
        <w:t xml:space="preserve">and </w:t>
      </w:r>
      <w:r w:rsidRPr="007365A4">
        <w:rPr>
          <w:rFonts w:ascii="Arial" w:eastAsia="Times New Roman" w:hAnsi="Arial" w:cs="Times New Roman"/>
          <w:color w:val="auto"/>
          <w:sz w:val="18"/>
          <w:szCs w:val="20"/>
          <w:lang w:val="en-GB"/>
        </w:rPr>
        <w:t xml:space="preserve">the impregnated polymers were taken. </w:t>
      </w:r>
      <w:r w:rsidR="00556ED1" w:rsidRPr="007365A4">
        <w:rPr>
          <w:rFonts w:ascii="Arial" w:eastAsia="Times New Roman" w:hAnsi="Arial" w:cs="Times New Roman"/>
          <w:color w:val="auto"/>
          <w:sz w:val="18"/>
          <w:szCs w:val="20"/>
          <w:lang w:val="en-GB"/>
        </w:rPr>
        <w:t>The experiments were carried out in duplicate for b</w:t>
      </w:r>
      <w:r w:rsidRPr="007365A4">
        <w:rPr>
          <w:rFonts w:ascii="Arial" w:eastAsia="Times New Roman" w:hAnsi="Arial" w:cs="Times New Roman"/>
          <w:color w:val="auto"/>
          <w:sz w:val="18"/>
          <w:szCs w:val="20"/>
          <w:lang w:val="en-GB"/>
        </w:rPr>
        <w:t xml:space="preserve">oth polymers </w:t>
      </w:r>
      <w:r w:rsidR="00556ED1" w:rsidRPr="007365A4">
        <w:rPr>
          <w:rFonts w:ascii="Arial" w:eastAsia="Times New Roman" w:hAnsi="Arial" w:cs="Times New Roman"/>
          <w:color w:val="auto"/>
          <w:sz w:val="18"/>
          <w:szCs w:val="20"/>
          <w:lang w:val="en-GB"/>
        </w:rPr>
        <w:t>under study</w:t>
      </w:r>
      <w:r w:rsidRPr="007365A4">
        <w:rPr>
          <w:rFonts w:ascii="Arial" w:eastAsia="Times New Roman" w:hAnsi="Arial" w:cs="Times New Roman"/>
          <w:color w:val="auto"/>
          <w:sz w:val="18"/>
          <w:szCs w:val="20"/>
          <w:lang w:val="en-GB"/>
        </w:rPr>
        <w:t>.</w:t>
      </w:r>
    </w:p>
    <w:p w14:paraId="385BFBE3" w14:textId="12439605" w:rsidR="00CE21F0" w:rsidRPr="007365A4" w:rsidRDefault="00CE21F0" w:rsidP="00CE21F0">
      <w:pPr>
        <w:pStyle w:val="CETheadingx"/>
        <w:rPr>
          <w:lang w:val="en-GB"/>
        </w:rPr>
      </w:pPr>
      <w:r w:rsidRPr="007365A4">
        <w:rPr>
          <w:lang w:val="en-GB"/>
        </w:rPr>
        <w:t xml:space="preserve">Estimation of the amount of extract </w:t>
      </w:r>
      <w:r w:rsidR="00375B84" w:rsidRPr="007365A4">
        <w:rPr>
          <w:lang w:val="en-GB"/>
        </w:rPr>
        <w:t>impregnated</w:t>
      </w:r>
    </w:p>
    <w:p w14:paraId="110912F5" w14:textId="408F1751" w:rsidR="007A3424" w:rsidRPr="007365A4" w:rsidRDefault="008E0A2B" w:rsidP="007365A4">
      <w:pPr>
        <w:pStyle w:val="Default"/>
        <w:jc w:val="both"/>
        <w:rPr>
          <w:rFonts w:ascii="Arial" w:eastAsia="Times New Roman" w:hAnsi="Arial" w:cs="Times New Roman"/>
          <w:color w:val="auto"/>
          <w:sz w:val="18"/>
          <w:szCs w:val="20"/>
          <w:lang w:val="en-GB"/>
        </w:rPr>
      </w:pPr>
      <w:r>
        <w:rPr>
          <w:rFonts w:ascii="Arial" w:eastAsia="Times New Roman" w:hAnsi="Arial" w:cs="Times New Roman"/>
          <w:color w:val="auto"/>
          <w:sz w:val="18"/>
          <w:szCs w:val="20"/>
          <w:lang w:val="en-GB"/>
        </w:rPr>
        <w:t>To</w:t>
      </w:r>
      <w:r w:rsidR="007A3424" w:rsidRPr="007365A4">
        <w:rPr>
          <w:rFonts w:ascii="Arial" w:eastAsia="Times New Roman" w:hAnsi="Arial" w:cs="Times New Roman"/>
          <w:color w:val="auto"/>
          <w:sz w:val="18"/>
          <w:szCs w:val="20"/>
          <w:lang w:val="en-GB"/>
        </w:rPr>
        <w:t xml:space="preserve"> determine the amount of MLE impregnated, </w:t>
      </w:r>
      <w:r w:rsidR="000923C8" w:rsidRPr="007365A4">
        <w:rPr>
          <w:rFonts w:ascii="Arial" w:eastAsia="Times New Roman" w:hAnsi="Arial" w:cs="Times New Roman"/>
          <w:color w:val="auto"/>
          <w:sz w:val="18"/>
          <w:szCs w:val="20"/>
          <w:lang w:val="en-GB"/>
        </w:rPr>
        <w:t>a</w:t>
      </w:r>
      <w:r w:rsidR="004B480C" w:rsidRPr="007365A4">
        <w:rPr>
          <w:rFonts w:ascii="Arial" w:eastAsia="Times New Roman" w:hAnsi="Arial" w:cs="Times New Roman"/>
          <w:color w:val="auto"/>
          <w:sz w:val="18"/>
          <w:szCs w:val="20"/>
          <w:lang w:val="en-GB"/>
        </w:rPr>
        <w:t xml:space="preserve"> certain</w:t>
      </w:r>
      <w:r w:rsidR="000923C8" w:rsidRPr="007365A4">
        <w:rPr>
          <w:rFonts w:ascii="Arial" w:eastAsia="Times New Roman" w:hAnsi="Arial" w:cs="Times New Roman"/>
          <w:color w:val="auto"/>
          <w:sz w:val="18"/>
          <w:szCs w:val="20"/>
          <w:lang w:val="en-GB"/>
        </w:rPr>
        <w:t xml:space="preserve"> amount</w:t>
      </w:r>
      <w:r w:rsidR="007A3424" w:rsidRPr="007365A4">
        <w:rPr>
          <w:rFonts w:ascii="Arial" w:eastAsia="Times New Roman" w:hAnsi="Arial" w:cs="Times New Roman"/>
          <w:color w:val="auto"/>
          <w:sz w:val="18"/>
          <w:szCs w:val="20"/>
          <w:lang w:val="en-GB"/>
        </w:rPr>
        <w:t xml:space="preserve"> of impregnated polymer </w:t>
      </w:r>
      <w:r w:rsidR="000923C8" w:rsidRPr="007365A4">
        <w:rPr>
          <w:rFonts w:ascii="Arial" w:eastAsia="Times New Roman" w:hAnsi="Arial" w:cs="Times New Roman"/>
          <w:color w:val="auto"/>
          <w:sz w:val="18"/>
          <w:szCs w:val="20"/>
          <w:lang w:val="en-GB"/>
        </w:rPr>
        <w:t>was</w:t>
      </w:r>
      <w:r w:rsidR="007A3424" w:rsidRPr="007365A4">
        <w:rPr>
          <w:rFonts w:ascii="Arial" w:eastAsia="Times New Roman" w:hAnsi="Arial" w:cs="Times New Roman"/>
          <w:color w:val="auto"/>
          <w:sz w:val="18"/>
          <w:szCs w:val="20"/>
          <w:lang w:val="en-GB"/>
        </w:rPr>
        <w:t xml:space="preserve"> </w:t>
      </w:r>
      <w:r w:rsidR="009E7B84" w:rsidRPr="007365A4">
        <w:rPr>
          <w:rFonts w:ascii="Arial" w:eastAsia="Times New Roman" w:hAnsi="Arial" w:cs="Times New Roman"/>
          <w:color w:val="auto"/>
          <w:sz w:val="18"/>
          <w:szCs w:val="20"/>
          <w:lang w:val="en-GB"/>
        </w:rPr>
        <w:t>dissolved</w:t>
      </w:r>
      <w:r w:rsidR="004B480C" w:rsidRPr="007365A4">
        <w:rPr>
          <w:rFonts w:ascii="Arial" w:eastAsia="Times New Roman" w:hAnsi="Arial" w:cs="Times New Roman"/>
          <w:color w:val="auto"/>
          <w:sz w:val="18"/>
          <w:szCs w:val="20"/>
          <w:lang w:val="en-GB"/>
        </w:rPr>
        <w:t xml:space="preserve"> </w:t>
      </w:r>
      <w:r w:rsidR="007A3424" w:rsidRPr="007365A4">
        <w:rPr>
          <w:rFonts w:ascii="Arial" w:eastAsia="Times New Roman" w:hAnsi="Arial" w:cs="Times New Roman"/>
          <w:color w:val="auto"/>
          <w:sz w:val="18"/>
          <w:szCs w:val="20"/>
          <w:lang w:val="en-GB"/>
        </w:rPr>
        <w:t xml:space="preserve">using </w:t>
      </w:r>
      <w:r w:rsidR="000923C8" w:rsidRPr="007365A4">
        <w:rPr>
          <w:rFonts w:ascii="Arial" w:eastAsia="Times New Roman" w:hAnsi="Arial" w:cs="Times New Roman"/>
          <w:color w:val="auto"/>
          <w:sz w:val="18"/>
          <w:szCs w:val="20"/>
          <w:lang w:val="en-GB"/>
        </w:rPr>
        <w:t>4</w:t>
      </w:r>
      <w:r w:rsidR="007A3424" w:rsidRPr="007365A4">
        <w:rPr>
          <w:rFonts w:ascii="Arial" w:eastAsia="Times New Roman" w:hAnsi="Arial" w:cs="Times New Roman"/>
          <w:color w:val="auto"/>
          <w:sz w:val="18"/>
          <w:szCs w:val="20"/>
          <w:lang w:val="en-GB"/>
        </w:rPr>
        <w:t xml:space="preserve"> mL of </w:t>
      </w:r>
      <w:r w:rsidR="004B480C" w:rsidRPr="007365A4">
        <w:rPr>
          <w:rFonts w:ascii="Arial" w:eastAsia="Times New Roman" w:hAnsi="Arial" w:cs="Times New Roman"/>
          <w:color w:val="auto"/>
          <w:sz w:val="18"/>
          <w:szCs w:val="20"/>
          <w:lang w:val="en-GB"/>
        </w:rPr>
        <w:t xml:space="preserve">organic </w:t>
      </w:r>
      <w:r w:rsidR="007A3424" w:rsidRPr="007365A4">
        <w:rPr>
          <w:rFonts w:ascii="Arial" w:eastAsia="Times New Roman" w:hAnsi="Arial" w:cs="Times New Roman"/>
          <w:color w:val="auto"/>
          <w:sz w:val="18"/>
          <w:szCs w:val="20"/>
          <w:lang w:val="en-GB"/>
        </w:rPr>
        <w:t>solvent</w:t>
      </w:r>
      <w:r w:rsidR="004B480C" w:rsidRPr="007365A4">
        <w:rPr>
          <w:rFonts w:ascii="Arial" w:eastAsia="Times New Roman" w:hAnsi="Arial" w:cs="Times New Roman"/>
          <w:color w:val="auto"/>
          <w:sz w:val="18"/>
          <w:szCs w:val="20"/>
          <w:lang w:val="en-GB"/>
        </w:rPr>
        <w:t xml:space="preserve"> </w:t>
      </w:r>
      <w:r w:rsidR="004B480C" w:rsidRPr="007365A4">
        <w:rPr>
          <w:rFonts w:ascii="Arial" w:eastAsia="Times New Roman" w:hAnsi="Arial" w:cs="Arial"/>
          <w:color w:val="auto"/>
          <w:sz w:val="18"/>
          <w:szCs w:val="20"/>
          <w:lang w:val="en-GB"/>
        </w:rPr>
        <w:t>—</w:t>
      </w:r>
      <w:r w:rsidR="007A3424" w:rsidRPr="007365A4">
        <w:rPr>
          <w:rFonts w:ascii="Arial" w:eastAsia="Times New Roman" w:hAnsi="Arial" w:cs="Times New Roman"/>
          <w:color w:val="auto"/>
          <w:sz w:val="18"/>
          <w:szCs w:val="20"/>
          <w:lang w:val="en-GB"/>
        </w:rPr>
        <w:t>tetrahydrofuran (THF) for TPU and dichloromethane (DCM) for PLA</w:t>
      </w:r>
      <w:r w:rsidR="004B480C" w:rsidRPr="007365A4">
        <w:rPr>
          <w:rFonts w:ascii="Arial" w:eastAsia="Times New Roman" w:hAnsi="Arial" w:cs="Arial"/>
          <w:color w:val="auto"/>
          <w:sz w:val="18"/>
          <w:szCs w:val="20"/>
          <w:lang w:val="en-GB"/>
        </w:rPr>
        <w:t>—</w:t>
      </w:r>
      <w:r w:rsidR="007A3424" w:rsidRPr="007365A4">
        <w:rPr>
          <w:rFonts w:ascii="Arial" w:eastAsia="Times New Roman" w:hAnsi="Arial" w:cs="Times New Roman"/>
          <w:color w:val="auto"/>
          <w:sz w:val="18"/>
          <w:szCs w:val="20"/>
          <w:lang w:val="en-GB"/>
        </w:rPr>
        <w:t xml:space="preserve">. </w:t>
      </w:r>
      <w:r w:rsidR="004B480C" w:rsidRPr="007365A4">
        <w:rPr>
          <w:rFonts w:ascii="Arial" w:eastAsia="Times New Roman" w:hAnsi="Arial" w:cs="Times New Roman"/>
          <w:color w:val="auto"/>
          <w:sz w:val="18"/>
          <w:szCs w:val="20"/>
          <w:lang w:val="en-GB"/>
        </w:rPr>
        <w:t xml:space="preserve">The quantification of </w:t>
      </w:r>
      <w:r w:rsidR="007A3424" w:rsidRPr="007365A4">
        <w:rPr>
          <w:rFonts w:ascii="Arial" w:eastAsia="Times New Roman" w:hAnsi="Arial" w:cs="Times New Roman"/>
          <w:color w:val="auto"/>
          <w:sz w:val="18"/>
          <w:szCs w:val="20"/>
          <w:lang w:val="en-GB"/>
        </w:rPr>
        <w:t xml:space="preserve">the extract contained in the sample was </w:t>
      </w:r>
      <w:r w:rsidR="004B480C" w:rsidRPr="007365A4">
        <w:rPr>
          <w:rFonts w:ascii="Arial" w:eastAsia="Times New Roman" w:hAnsi="Arial" w:cs="Times New Roman"/>
          <w:color w:val="auto"/>
          <w:sz w:val="18"/>
          <w:szCs w:val="20"/>
          <w:lang w:val="en-GB"/>
        </w:rPr>
        <w:t>calculated</w:t>
      </w:r>
      <w:r w:rsidR="007A3424" w:rsidRPr="007365A4">
        <w:rPr>
          <w:rFonts w:ascii="Arial" w:eastAsia="Times New Roman" w:hAnsi="Arial" w:cs="Times New Roman"/>
          <w:color w:val="auto"/>
          <w:sz w:val="18"/>
          <w:szCs w:val="20"/>
          <w:lang w:val="en-GB"/>
        </w:rPr>
        <w:t xml:space="preserve"> based on the calibration lines </w:t>
      </w:r>
      <w:r w:rsidR="004B480C" w:rsidRPr="007365A4">
        <w:rPr>
          <w:rFonts w:ascii="Arial" w:eastAsia="Times New Roman" w:hAnsi="Arial" w:cs="Times New Roman"/>
          <w:color w:val="auto"/>
          <w:sz w:val="18"/>
          <w:szCs w:val="20"/>
          <w:lang w:val="en-GB"/>
        </w:rPr>
        <w:t xml:space="preserve">previously </w:t>
      </w:r>
      <w:r w:rsidR="007A3424" w:rsidRPr="007365A4">
        <w:rPr>
          <w:rFonts w:ascii="Arial" w:eastAsia="Times New Roman" w:hAnsi="Arial" w:cs="Times New Roman"/>
          <w:color w:val="auto"/>
          <w:sz w:val="18"/>
          <w:szCs w:val="20"/>
          <w:lang w:val="en-GB"/>
        </w:rPr>
        <w:lastRenderedPageBreak/>
        <w:t>made at an adequate wavelength</w:t>
      </w:r>
      <w:r w:rsidR="00771290" w:rsidRPr="007365A4">
        <w:rPr>
          <w:rFonts w:ascii="Arial" w:eastAsia="Times New Roman" w:hAnsi="Arial" w:cs="Times New Roman"/>
          <w:color w:val="auto"/>
          <w:sz w:val="18"/>
          <w:szCs w:val="20"/>
          <w:lang w:val="en-GB"/>
        </w:rPr>
        <w:t xml:space="preserve"> (equations </w:t>
      </w:r>
      <w:r w:rsidR="008356F6" w:rsidRPr="007365A4">
        <w:rPr>
          <w:rFonts w:ascii="Arial" w:eastAsia="Times New Roman" w:hAnsi="Arial" w:cs="Times New Roman"/>
          <w:color w:val="auto"/>
          <w:sz w:val="18"/>
          <w:szCs w:val="20"/>
          <w:lang w:val="en-GB"/>
        </w:rPr>
        <w:t>3</w:t>
      </w:r>
      <w:r w:rsidR="00CC1BE5" w:rsidRPr="007365A4">
        <w:rPr>
          <w:rFonts w:ascii="Arial" w:eastAsia="Times New Roman" w:hAnsi="Arial" w:cs="Times New Roman"/>
          <w:color w:val="auto"/>
          <w:sz w:val="18"/>
          <w:szCs w:val="20"/>
          <w:lang w:val="en-GB"/>
        </w:rPr>
        <w:t xml:space="preserve"> </w:t>
      </w:r>
      <w:r w:rsidR="00771290" w:rsidRPr="007365A4">
        <w:rPr>
          <w:rFonts w:ascii="Arial" w:eastAsia="Times New Roman" w:hAnsi="Arial" w:cs="Times New Roman"/>
          <w:color w:val="auto"/>
          <w:sz w:val="18"/>
          <w:szCs w:val="20"/>
          <w:lang w:val="en-GB"/>
        </w:rPr>
        <w:t xml:space="preserve">and </w:t>
      </w:r>
      <w:r w:rsidR="008356F6" w:rsidRPr="007365A4">
        <w:rPr>
          <w:rFonts w:ascii="Arial" w:eastAsia="Times New Roman" w:hAnsi="Arial" w:cs="Times New Roman"/>
          <w:color w:val="auto"/>
          <w:sz w:val="18"/>
          <w:szCs w:val="20"/>
          <w:lang w:val="en-GB"/>
        </w:rPr>
        <w:t>4</w:t>
      </w:r>
      <w:r w:rsidR="00771290" w:rsidRPr="007365A4">
        <w:rPr>
          <w:rFonts w:ascii="Arial" w:eastAsia="Times New Roman" w:hAnsi="Arial" w:cs="Times New Roman"/>
          <w:color w:val="auto"/>
          <w:sz w:val="18"/>
          <w:szCs w:val="20"/>
          <w:lang w:val="en-GB"/>
        </w:rPr>
        <w:t>).</w:t>
      </w:r>
      <w:r w:rsidR="001D12CD" w:rsidRPr="007365A4">
        <w:rPr>
          <w:sz w:val="22"/>
          <w:szCs w:val="22"/>
          <w:lang w:val="en-GB"/>
        </w:rPr>
        <w:t xml:space="preserve"> </w:t>
      </w:r>
      <w:r w:rsidR="004B480C" w:rsidRPr="007365A4">
        <w:rPr>
          <w:rFonts w:ascii="Arial" w:eastAsia="Times New Roman" w:hAnsi="Arial" w:cs="Times New Roman"/>
          <w:color w:val="auto"/>
          <w:sz w:val="18"/>
          <w:szCs w:val="20"/>
          <w:lang w:val="en-GB"/>
        </w:rPr>
        <w:t>Measurements were carried out in a UV-Vis spectrophotometer model UVmini-1240 by Shimadzu Corporation (Kioto, Japan).</w:t>
      </w:r>
    </w:p>
    <w:tbl>
      <w:tblPr>
        <w:tblW w:w="5000" w:type="pct"/>
        <w:jc w:val="right"/>
        <w:tblLook w:val="04A0" w:firstRow="1" w:lastRow="0" w:firstColumn="1" w:lastColumn="0" w:noHBand="0" w:noVBand="1"/>
      </w:tblPr>
      <w:tblGrid>
        <w:gridCol w:w="7984"/>
        <w:gridCol w:w="803"/>
      </w:tblGrid>
      <w:tr w:rsidR="00771290" w:rsidRPr="007365A4" w14:paraId="7D5C7A15" w14:textId="77777777" w:rsidTr="000923C8">
        <w:trPr>
          <w:jc w:val="right"/>
        </w:trPr>
        <w:tc>
          <w:tcPr>
            <w:tcW w:w="7984" w:type="dxa"/>
            <w:shd w:val="clear" w:color="auto" w:fill="auto"/>
            <w:vAlign w:val="center"/>
          </w:tcPr>
          <w:p w14:paraId="2F04EB92" w14:textId="46B5A296" w:rsidR="00771290" w:rsidRPr="007365A4" w:rsidRDefault="00771290" w:rsidP="00CC234F">
            <w:pPr>
              <w:pStyle w:val="CETEquation"/>
              <w:rPr>
                <w:rFonts w:cs="Arial"/>
              </w:rPr>
            </w:pPr>
            <w:r w:rsidRPr="007365A4">
              <w:rPr>
                <w:rFonts w:cs="Arial"/>
              </w:rPr>
              <w:t xml:space="preserve">MLE in DMC (10-300 mg/L): </w:t>
            </w:r>
            <m:oMath>
              <m:r>
                <m:rPr>
                  <m:sty m:val="p"/>
                </m:rPr>
                <w:rPr>
                  <w:rFonts w:ascii="Cambria Math" w:hAnsi="Cambria Math" w:cs="Arial"/>
                </w:rPr>
                <m:t xml:space="preserve">Abs </m:t>
              </m:r>
              <m:d>
                <m:dPr>
                  <m:ctrlPr>
                    <w:rPr>
                      <w:rFonts w:ascii="Cambria Math" w:hAnsi="Cambria Math" w:cs="Arial"/>
                    </w:rPr>
                  </m:ctrlPr>
                </m:dPr>
                <m:e>
                  <m:r>
                    <m:rPr>
                      <m:sty m:val="p"/>
                    </m:rPr>
                    <w:rPr>
                      <w:rFonts w:ascii="Cambria Math" w:hAnsi="Cambria Math" w:cs="Arial"/>
                    </w:rPr>
                    <m:t>310 nm</m:t>
                  </m:r>
                </m:e>
              </m:d>
              <m:r>
                <m:rPr>
                  <m:sty m:val="p"/>
                </m:rPr>
                <w:rPr>
                  <w:rFonts w:ascii="Cambria Math" w:hAnsi="Cambria Math" w:cs="Arial"/>
                </w:rPr>
                <m:t>= 0.0042·</m:t>
              </m:r>
              <m:d>
                <m:dPr>
                  <m:begChr m:val="["/>
                  <m:endChr m:val="]"/>
                  <m:ctrlPr>
                    <w:rPr>
                      <w:rFonts w:ascii="Cambria Math" w:hAnsi="Cambria Math" w:cs="Arial"/>
                    </w:rPr>
                  </m:ctrlPr>
                </m:dPr>
                <m:e>
                  <m:r>
                    <m:rPr>
                      <m:sty m:val="p"/>
                    </m:rPr>
                    <w:rPr>
                      <w:rFonts w:ascii="Cambria Math" w:hAnsi="Cambria Math" w:cs="Arial"/>
                    </w:rPr>
                    <m:t>MLE</m:t>
                  </m:r>
                </m:e>
              </m:d>
              <m:r>
                <m:rPr>
                  <m:sty m:val="p"/>
                </m:rPr>
                <w:rPr>
                  <w:rFonts w:ascii="Cambria Math" w:hAnsi="Cambria Math" w:cs="Arial"/>
                </w:rPr>
                <m:t>(mg/L)+0.0446</m:t>
              </m:r>
            </m:oMath>
            <w:r w:rsidRPr="007365A4">
              <w:rPr>
                <w:rFonts w:cs="Arial"/>
              </w:rPr>
              <w:t>; R= 0.99</w:t>
            </w:r>
            <w:r w:rsidR="0011780A" w:rsidRPr="007365A4">
              <w:rPr>
                <w:rFonts w:cs="Arial"/>
              </w:rPr>
              <w:t>08</w:t>
            </w:r>
          </w:p>
        </w:tc>
        <w:tc>
          <w:tcPr>
            <w:tcW w:w="803" w:type="dxa"/>
            <w:shd w:val="clear" w:color="auto" w:fill="auto"/>
            <w:vAlign w:val="center"/>
          </w:tcPr>
          <w:p w14:paraId="6ACE09D7" w14:textId="0F997A68" w:rsidR="00771290" w:rsidRPr="007365A4" w:rsidRDefault="000923C8" w:rsidP="000923C8">
            <w:pPr>
              <w:pStyle w:val="CETEquation"/>
              <w:jc w:val="right"/>
              <w:rPr>
                <w:rFonts w:cs="Arial"/>
              </w:rPr>
            </w:pPr>
            <w:r w:rsidRPr="007365A4">
              <w:rPr>
                <w:rFonts w:cs="Arial"/>
              </w:rPr>
              <w:t>(</w:t>
            </w:r>
            <w:r w:rsidR="008356F6" w:rsidRPr="007365A4">
              <w:rPr>
                <w:rFonts w:cs="Arial"/>
              </w:rPr>
              <w:t>3</w:t>
            </w:r>
            <w:r w:rsidRPr="007365A4">
              <w:rPr>
                <w:rFonts w:cs="Arial"/>
              </w:rPr>
              <w:t>)</w:t>
            </w:r>
          </w:p>
        </w:tc>
      </w:tr>
      <w:tr w:rsidR="000923C8" w:rsidRPr="007365A4" w14:paraId="243CE156" w14:textId="77777777" w:rsidTr="000923C8">
        <w:trPr>
          <w:jc w:val="right"/>
        </w:trPr>
        <w:tc>
          <w:tcPr>
            <w:tcW w:w="7984" w:type="dxa"/>
            <w:shd w:val="clear" w:color="auto" w:fill="auto"/>
            <w:vAlign w:val="center"/>
          </w:tcPr>
          <w:p w14:paraId="7EE2E001" w14:textId="3ADDAEF2" w:rsidR="00B6757B" w:rsidRPr="007365A4" w:rsidRDefault="00B6757B" w:rsidP="00B6757B">
            <w:pPr>
              <w:pStyle w:val="CETBodytext"/>
              <w:rPr>
                <w:lang w:val="en-GB"/>
              </w:rPr>
            </w:pPr>
            <w:r w:rsidRPr="007365A4">
              <w:rPr>
                <w:rFonts w:cs="Arial"/>
                <w:lang w:val="en-GB"/>
              </w:rPr>
              <w:t xml:space="preserve">MLE in THF (100-5000 mg/L): </w:t>
            </w:r>
            <m:oMath>
              <m:r>
                <m:rPr>
                  <m:sty m:val="p"/>
                </m:rPr>
                <w:rPr>
                  <w:rFonts w:ascii="Cambria Math" w:hAnsi="Cambria Math" w:cs="Arial"/>
                  <w:lang w:val="en-GB"/>
                </w:rPr>
                <m:t xml:space="preserve">Abs </m:t>
              </m:r>
              <m:d>
                <m:dPr>
                  <m:ctrlPr>
                    <w:rPr>
                      <w:rFonts w:ascii="Cambria Math" w:hAnsi="Cambria Math" w:cs="Arial"/>
                      <w:lang w:val="en-GB"/>
                    </w:rPr>
                  </m:ctrlPr>
                </m:dPr>
                <m:e>
                  <m:r>
                    <m:rPr>
                      <m:sty m:val="p"/>
                    </m:rPr>
                    <w:rPr>
                      <w:rFonts w:ascii="Cambria Math" w:hAnsi="Cambria Math" w:cs="Arial"/>
                      <w:lang w:val="en-GB"/>
                    </w:rPr>
                    <m:t>665 nm</m:t>
                  </m:r>
                </m:e>
              </m:d>
              <m:r>
                <m:rPr>
                  <m:sty m:val="p"/>
                </m:rPr>
                <w:rPr>
                  <w:rFonts w:ascii="Cambria Math" w:hAnsi="Cambria Math" w:cs="Arial"/>
                  <w:lang w:val="en-GB"/>
                </w:rPr>
                <m:t>= 0.0001·</m:t>
              </m:r>
              <m:d>
                <m:dPr>
                  <m:begChr m:val="["/>
                  <m:endChr m:val="]"/>
                  <m:ctrlPr>
                    <w:rPr>
                      <w:rFonts w:ascii="Cambria Math" w:hAnsi="Cambria Math" w:cs="Arial"/>
                      <w:lang w:val="en-GB"/>
                    </w:rPr>
                  </m:ctrlPr>
                </m:dPr>
                <m:e>
                  <m:r>
                    <m:rPr>
                      <m:sty m:val="p"/>
                    </m:rPr>
                    <w:rPr>
                      <w:rFonts w:ascii="Cambria Math" w:hAnsi="Cambria Math" w:cs="Arial"/>
                      <w:lang w:val="en-GB"/>
                    </w:rPr>
                    <m:t>MLE</m:t>
                  </m:r>
                </m:e>
              </m:d>
              <m:r>
                <m:rPr>
                  <m:sty m:val="p"/>
                </m:rPr>
                <w:rPr>
                  <w:rFonts w:ascii="Cambria Math" w:hAnsi="Cambria Math" w:cs="Arial"/>
                  <w:lang w:val="en-GB"/>
                </w:rPr>
                <m:t>(mg/L)+0.0046</m:t>
              </m:r>
            </m:oMath>
            <w:r w:rsidRPr="007365A4">
              <w:rPr>
                <w:rFonts w:cs="Arial"/>
                <w:lang w:val="en-GB"/>
              </w:rPr>
              <w:t>; R= 0.99</w:t>
            </w:r>
            <w:r w:rsidR="0011780A" w:rsidRPr="007365A4">
              <w:rPr>
                <w:rFonts w:cs="Arial"/>
                <w:lang w:val="en-GB"/>
              </w:rPr>
              <w:t>44</w:t>
            </w:r>
          </w:p>
        </w:tc>
        <w:tc>
          <w:tcPr>
            <w:tcW w:w="803" w:type="dxa"/>
            <w:shd w:val="clear" w:color="auto" w:fill="auto"/>
            <w:vAlign w:val="center"/>
          </w:tcPr>
          <w:p w14:paraId="60B8951A" w14:textId="0DF9A826" w:rsidR="00771290" w:rsidRPr="007365A4" w:rsidRDefault="00771290" w:rsidP="000923C8">
            <w:pPr>
              <w:pStyle w:val="CETEquation"/>
              <w:jc w:val="right"/>
              <w:rPr>
                <w:rFonts w:cs="Arial"/>
              </w:rPr>
            </w:pPr>
            <w:r w:rsidRPr="007365A4">
              <w:rPr>
                <w:rFonts w:cs="Arial"/>
              </w:rPr>
              <w:t>(</w:t>
            </w:r>
            <w:r w:rsidR="008356F6" w:rsidRPr="007365A4">
              <w:rPr>
                <w:rFonts w:cs="Arial"/>
              </w:rPr>
              <w:t>4</w:t>
            </w:r>
            <w:r w:rsidRPr="007365A4">
              <w:rPr>
                <w:rFonts w:cs="Arial"/>
              </w:rPr>
              <w:t>)</w:t>
            </w:r>
          </w:p>
        </w:tc>
      </w:tr>
    </w:tbl>
    <w:p w14:paraId="1690728E" w14:textId="25F70CD6" w:rsidR="000923C8" w:rsidRPr="007365A4" w:rsidRDefault="000923C8" w:rsidP="000923C8">
      <w:pPr>
        <w:pStyle w:val="CETheadingx"/>
        <w:rPr>
          <w:lang w:val="en-GB"/>
        </w:rPr>
      </w:pPr>
      <w:r w:rsidRPr="007365A4">
        <w:rPr>
          <w:lang w:val="en-GB"/>
        </w:rPr>
        <w:t>MLE release in a saline medium</w:t>
      </w:r>
    </w:p>
    <w:p w14:paraId="021B2EC1" w14:textId="03A8CB35" w:rsidR="001357EC" w:rsidRPr="007365A4" w:rsidRDefault="00A94F52" w:rsidP="007365A4">
      <w:pPr>
        <w:pStyle w:val="Default"/>
        <w:tabs>
          <w:tab w:val="left" w:pos="1455"/>
        </w:tabs>
        <w:jc w:val="both"/>
        <w:rPr>
          <w:rFonts w:ascii="Arial" w:eastAsia="Times New Roman" w:hAnsi="Arial" w:cs="Times New Roman"/>
          <w:color w:val="auto"/>
          <w:sz w:val="18"/>
          <w:szCs w:val="20"/>
          <w:lang w:val="en-GB"/>
        </w:rPr>
      </w:pPr>
      <w:r w:rsidRPr="007365A4">
        <w:rPr>
          <w:rFonts w:ascii="Arial" w:eastAsia="Times New Roman" w:hAnsi="Arial" w:cs="Times New Roman"/>
          <w:color w:val="auto"/>
          <w:sz w:val="18"/>
          <w:szCs w:val="20"/>
          <w:lang w:val="en-GB"/>
        </w:rPr>
        <w:t xml:space="preserve">The </w:t>
      </w:r>
      <w:r w:rsidR="005125B8" w:rsidRPr="005125B8">
        <w:rPr>
          <w:rFonts w:ascii="Arial" w:eastAsia="Times New Roman" w:hAnsi="Arial" w:cs="Times New Roman"/>
          <w:color w:val="auto"/>
          <w:sz w:val="18"/>
          <w:szCs w:val="20"/>
          <w:lang w:val="en-GB"/>
        </w:rPr>
        <w:t>release of the active substance from each polymer was studied by immersing ca. 90 mg of impregnated polymer in 5 mL of phosphate buffer saline (PBS) at pH 7.4, simulating</w:t>
      </w:r>
      <w:r w:rsidR="00BB3E10" w:rsidRPr="007365A4">
        <w:rPr>
          <w:rFonts w:ascii="Arial" w:eastAsia="Times New Roman" w:hAnsi="Arial" w:cs="Times New Roman"/>
          <w:color w:val="auto"/>
          <w:sz w:val="18"/>
          <w:szCs w:val="20"/>
          <w:lang w:val="en-GB"/>
        </w:rPr>
        <w:t xml:space="preserve"> a body fluid</w:t>
      </w:r>
      <w:r w:rsidR="004B480C" w:rsidRPr="007365A4">
        <w:rPr>
          <w:rFonts w:ascii="Arial" w:eastAsia="Times New Roman" w:hAnsi="Arial" w:cs="Times New Roman"/>
          <w:color w:val="auto"/>
          <w:sz w:val="18"/>
          <w:szCs w:val="20"/>
          <w:lang w:val="en-GB"/>
        </w:rPr>
        <w:t xml:space="preserve">. The release was </w:t>
      </w:r>
      <w:r w:rsidR="00020E8F" w:rsidRPr="007365A4">
        <w:rPr>
          <w:rFonts w:ascii="Arial" w:eastAsia="Times New Roman" w:hAnsi="Arial" w:cs="Times New Roman"/>
          <w:color w:val="auto"/>
          <w:sz w:val="18"/>
          <w:szCs w:val="20"/>
          <w:lang w:val="en-GB"/>
        </w:rPr>
        <w:t>quantified along 600 h</w:t>
      </w:r>
      <w:r w:rsidR="004B480C" w:rsidRPr="007365A4">
        <w:rPr>
          <w:rFonts w:ascii="Arial" w:eastAsia="Times New Roman" w:hAnsi="Arial" w:cs="Times New Roman"/>
          <w:color w:val="auto"/>
          <w:sz w:val="18"/>
          <w:szCs w:val="20"/>
          <w:lang w:val="en-GB"/>
        </w:rPr>
        <w:t xml:space="preserve"> according to the</w:t>
      </w:r>
      <w:r w:rsidRPr="007365A4">
        <w:rPr>
          <w:rFonts w:ascii="Arial" w:eastAsia="Times New Roman" w:hAnsi="Arial" w:cs="Times New Roman"/>
          <w:color w:val="auto"/>
          <w:sz w:val="18"/>
          <w:szCs w:val="20"/>
          <w:lang w:val="en-GB"/>
        </w:rPr>
        <w:t xml:space="preserve"> calibration line shown in equation </w:t>
      </w:r>
      <w:r w:rsidR="008356F6" w:rsidRPr="007365A4">
        <w:rPr>
          <w:rFonts w:ascii="Arial" w:eastAsia="Times New Roman" w:hAnsi="Arial" w:cs="Times New Roman"/>
          <w:color w:val="auto"/>
          <w:sz w:val="18"/>
          <w:szCs w:val="20"/>
          <w:lang w:val="en-GB"/>
        </w:rPr>
        <w:t>5</w:t>
      </w:r>
      <w:r w:rsidR="004B480C" w:rsidRPr="007365A4">
        <w:rPr>
          <w:rFonts w:ascii="Arial" w:eastAsia="Times New Roman" w:hAnsi="Arial" w:cs="Times New Roman"/>
          <w:color w:val="auto"/>
          <w:sz w:val="18"/>
          <w:szCs w:val="20"/>
          <w:lang w:val="en-GB"/>
        </w:rPr>
        <w:t>.</w:t>
      </w:r>
    </w:p>
    <w:tbl>
      <w:tblPr>
        <w:tblW w:w="5000" w:type="pct"/>
        <w:jc w:val="right"/>
        <w:tblLook w:val="04A0" w:firstRow="1" w:lastRow="0" w:firstColumn="1" w:lastColumn="0" w:noHBand="0" w:noVBand="1"/>
      </w:tblPr>
      <w:tblGrid>
        <w:gridCol w:w="7984"/>
        <w:gridCol w:w="803"/>
      </w:tblGrid>
      <w:tr w:rsidR="001357EC" w:rsidRPr="007365A4" w14:paraId="7A4D62C5" w14:textId="77777777" w:rsidTr="00B204EC">
        <w:trPr>
          <w:jc w:val="right"/>
        </w:trPr>
        <w:tc>
          <w:tcPr>
            <w:tcW w:w="7984" w:type="dxa"/>
            <w:shd w:val="clear" w:color="auto" w:fill="auto"/>
            <w:vAlign w:val="center"/>
          </w:tcPr>
          <w:p w14:paraId="67DD47A6" w14:textId="7DD31A36" w:rsidR="001357EC" w:rsidRPr="007365A4" w:rsidRDefault="001357EC" w:rsidP="00B204EC">
            <w:pPr>
              <w:pStyle w:val="CETEquation"/>
              <w:ind w:firstLine="306"/>
              <w:rPr>
                <w:rFonts w:cs="Arial"/>
              </w:rPr>
            </w:pPr>
            <w:r w:rsidRPr="007365A4">
              <w:rPr>
                <w:rFonts w:cs="Arial"/>
              </w:rPr>
              <w:t>MLE in PBS (1-</w:t>
            </w:r>
            <w:r w:rsidR="009A4D73" w:rsidRPr="007365A4">
              <w:rPr>
                <w:rFonts w:cs="Arial"/>
              </w:rPr>
              <w:t>7</w:t>
            </w:r>
            <w:r w:rsidRPr="007365A4">
              <w:rPr>
                <w:rFonts w:cs="Arial"/>
              </w:rPr>
              <w:t xml:space="preserve">0 mg/L): </w:t>
            </w:r>
            <m:oMath>
              <m:r>
                <m:rPr>
                  <m:sty m:val="p"/>
                </m:rPr>
                <w:rPr>
                  <w:rFonts w:ascii="Cambria Math" w:hAnsi="Cambria Math" w:cs="Arial"/>
                </w:rPr>
                <m:t xml:space="preserve">Abs </m:t>
              </m:r>
              <m:d>
                <m:dPr>
                  <m:ctrlPr>
                    <w:rPr>
                      <w:rFonts w:ascii="Cambria Math" w:hAnsi="Cambria Math" w:cs="Arial"/>
                    </w:rPr>
                  </m:ctrlPr>
                </m:dPr>
                <m:e>
                  <m:r>
                    <m:rPr>
                      <m:sty m:val="p"/>
                    </m:rPr>
                    <w:rPr>
                      <w:rFonts w:ascii="Cambria Math" w:hAnsi="Cambria Math" w:cs="Arial"/>
                    </w:rPr>
                    <m:t>280 nm</m:t>
                  </m:r>
                </m:e>
              </m:d>
              <m:r>
                <m:rPr>
                  <m:sty m:val="p"/>
                </m:rPr>
                <w:rPr>
                  <w:rFonts w:ascii="Cambria Math" w:hAnsi="Cambria Math" w:cs="Arial"/>
                </w:rPr>
                <m:t>= 0.0073·</m:t>
              </m:r>
              <m:d>
                <m:dPr>
                  <m:begChr m:val="["/>
                  <m:endChr m:val="]"/>
                  <m:ctrlPr>
                    <w:rPr>
                      <w:rFonts w:ascii="Cambria Math" w:hAnsi="Cambria Math" w:cs="Arial"/>
                    </w:rPr>
                  </m:ctrlPr>
                </m:dPr>
                <m:e>
                  <m:r>
                    <m:rPr>
                      <m:sty m:val="p"/>
                    </m:rPr>
                    <w:rPr>
                      <w:rFonts w:ascii="Cambria Math" w:hAnsi="Cambria Math" w:cs="Arial"/>
                    </w:rPr>
                    <m:t>MLE</m:t>
                  </m:r>
                </m:e>
              </m:d>
              <m:r>
                <m:rPr>
                  <m:sty m:val="p"/>
                </m:rPr>
                <w:rPr>
                  <w:rFonts w:ascii="Cambria Math" w:hAnsi="Cambria Math" w:cs="Arial"/>
                </w:rPr>
                <m:t>(mg/L)-0.0074</m:t>
              </m:r>
            </m:oMath>
            <w:r w:rsidRPr="007365A4">
              <w:rPr>
                <w:rFonts w:cs="Arial"/>
              </w:rPr>
              <w:t xml:space="preserve">; R= </w:t>
            </w:r>
            <w:r w:rsidR="0011780A" w:rsidRPr="007365A4">
              <w:rPr>
                <w:rFonts w:cs="Arial"/>
              </w:rPr>
              <w:t>0</w:t>
            </w:r>
            <w:r w:rsidR="00DB28B4" w:rsidRPr="007365A4">
              <w:rPr>
                <w:rFonts w:cs="Arial"/>
              </w:rPr>
              <w:t>.</w:t>
            </w:r>
            <w:r w:rsidR="0011780A" w:rsidRPr="007365A4">
              <w:rPr>
                <w:rFonts w:cs="Arial"/>
              </w:rPr>
              <w:t>9996</w:t>
            </w:r>
          </w:p>
        </w:tc>
        <w:tc>
          <w:tcPr>
            <w:tcW w:w="803" w:type="dxa"/>
            <w:shd w:val="clear" w:color="auto" w:fill="auto"/>
            <w:vAlign w:val="center"/>
          </w:tcPr>
          <w:p w14:paraId="2F12AB96" w14:textId="29617E29" w:rsidR="001357EC" w:rsidRPr="007365A4" w:rsidRDefault="001357EC" w:rsidP="00B204EC">
            <w:pPr>
              <w:pStyle w:val="CETEquation"/>
              <w:jc w:val="right"/>
              <w:rPr>
                <w:rFonts w:cs="Arial"/>
              </w:rPr>
            </w:pPr>
            <w:r w:rsidRPr="007365A4">
              <w:t>(</w:t>
            </w:r>
            <w:r w:rsidR="008356F6" w:rsidRPr="007365A4">
              <w:t>5</w:t>
            </w:r>
            <w:r w:rsidRPr="007365A4">
              <w:t>)</w:t>
            </w:r>
          </w:p>
        </w:tc>
      </w:tr>
    </w:tbl>
    <w:p w14:paraId="2C686C96" w14:textId="465756B7" w:rsidR="00D70D6D" w:rsidRPr="007365A4" w:rsidRDefault="008148B0" w:rsidP="00D70D6D">
      <w:pPr>
        <w:pStyle w:val="CETheadingx"/>
        <w:rPr>
          <w:lang w:val="en-GB"/>
        </w:rPr>
      </w:pPr>
      <w:r w:rsidRPr="007365A4">
        <w:rPr>
          <w:lang w:val="en-GB"/>
        </w:rPr>
        <w:t xml:space="preserve">Antioxidant </w:t>
      </w:r>
      <w:r w:rsidR="00325DE5" w:rsidRPr="007365A4">
        <w:rPr>
          <w:lang w:val="en-GB"/>
        </w:rPr>
        <w:t xml:space="preserve">capacity of the </w:t>
      </w:r>
      <w:r w:rsidR="00D70D6D" w:rsidRPr="007365A4">
        <w:rPr>
          <w:lang w:val="en-GB"/>
        </w:rPr>
        <w:t>MLE release</w:t>
      </w:r>
      <w:r w:rsidR="00634715" w:rsidRPr="007365A4">
        <w:rPr>
          <w:lang w:val="en-GB"/>
        </w:rPr>
        <w:t>d</w:t>
      </w:r>
      <w:r w:rsidR="00D70D6D" w:rsidRPr="007365A4">
        <w:rPr>
          <w:lang w:val="en-GB"/>
        </w:rPr>
        <w:t xml:space="preserve"> in a saline medium</w:t>
      </w:r>
    </w:p>
    <w:p w14:paraId="65D7A4FD" w14:textId="043EDD59" w:rsidR="005255AE" w:rsidRDefault="005255AE" w:rsidP="001B7A7C">
      <w:pPr>
        <w:pStyle w:val="Default"/>
        <w:rPr>
          <w:rFonts w:ascii="Arial" w:eastAsia="Times New Roman" w:hAnsi="Arial" w:cs="Times New Roman"/>
          <w:color w:val="auto"/>
          <w:sz w:val="18"/>
          <w:szCs w:val="20"/>
          <w:lang w:val="en-GB"/>
        </w:rPr>
      </w:pPr>
      <w:r w:rsidRPr="007365A4">
        <w:rPr>
          <w:rFonts w:ascii="Arial" w:eastAsia="Times New Roman" w:hAnsi="Arial" w:cs="Times New Roman"/>
          <w:color w:val="auto"/>
          <w:sz w:val="18"/>
          <w:szCs w:val="20"/>
          <w:lang w:val="en-GB"/>
        </w:rPr>
        <w:t xml:space="preserve">Samples of both impregnated polymers </w:t>
      </w:r>
      <w:r w:rsidR="001D62B3" w:rsidRPr="007365A4">
        <w:rPr>
          <w:rFonts w:ascii="Arial" w:eastAsia="Times New Roman" w:hAnsi="Arial" w:cs="Times New Roman"/>
          <w:color w:val="auto"/>
          <w:sz w:val="18"/>
          <w:szCs w:val="20"/>
          <w:lang w:val="en-GB"/>
        </w:rPr>
        <w:t>(</w:t>
      </w:r>
      <w:r w:rsidR="00020E8F" w:rsidRPr="001B7A7C">
        <w:rPr>
          <w:rFonts w:ascii="Arial" w:eastAsia="Times New Roman" w:hAnsi="Arial" w:cs="Times New Roman"/>
          <w:color w:val="auto"/>
          <w:sz w:val="18"/>
          <w:szCs w:val="20"/>
          <w:lang w:val="en-GB"/>
        </w:rPr>
        <w:t>~</w:t>
      </w:r>
      <w:r w:rsidR="0081365D" w:rsidRPr="007365A4">
        <w:rPr>
          <w:rFonts w:ascii="Arial" w:eastAsia="Times New Roman" w:hAnsi="Arial" w:cs="Times New Roman"/>
          <w:color w:val="auto"/>
          <w:sz w:val="18"/>
          <w:szCs w:val="20"/>
          <w:lang w:val="en-GB"/>
        </w:rPr>
        <w:t xml:space="preserve"> </w:t>
      </w:r>
      <w:r w:rsidR="001D62B3" w:rsidRPr="007365A4">
        <w:rPr>
          <w:rFonts w:ascii="Arial" w:eastAsia="Times New Roman" w:hAnsi="Arial" w:cs="Times New Roman"/>
          <w:color w:val="auto"/>
          <w:sz w:val="18"/>
          <w:szCs w:val="20"/>
          <w:lang w:val="en-GB"/>
        </w:rPr>
        <w:t>20 mg) were submerged in PBS</w:t>
      </w:r>
      <w:r w:rsidR="0081365D" w:rsidRPr="007365A4">
        <w:rPr>
          <w:rFonts w:ascii="Arial" w:eastAsia="Times New Roman" w:hAnsi="Arial" w:cs="Times New Roman"/>
          <w:color w:val="auto"/>
          <w:sz w:val="18"/>
          <w:szCs w:val="20"/>
          <w:lang w:val="en-GB"/>
        </w:rPr>
        <w:t xml:space="preserve"> </w:t>
      </w:r>
      <w:r w:rsidR="00C36CD2">
        <w:rPr>
          <w:rFonts w:ascii="Arial" w:eastAsia="Times New Roman" w:hAnsi="Arial" w:cs="Times New Roman"/>
          <w:color w:val="auto"/>
          <w:sz w:val="18"/>
          <w:szCs w:val="20"/>
          <w:lang w:val="en-GB"/>
        </w:rPr>
        <w:t>for</w:t>
      </w:r>
      <w:r w:rsidR="0081365D" w:rsidRPr="007365A4">
        <w:rPr>
          <w:rFonts w:ascii="Arial" w:eastAsia="Times New Roman" w:hAnsi="Arial" w:cs="Times New Roman"/>
          <w:color w:val="auto"/>
          <w:sz w:val="18"/>
          <w:szCs w:val="20"/>
          <w:lang w:val="en-GB"/>
        </w:rPr>
        <w:t xml:space="preserve"> 240 and 4</w:t>
      </w:r>
      <w:r w:rsidR="00A472CB">
        <w:rPr>
          <w:rFonts w:ascii="Arial" w:eastAsia="Times New Roman" w:hAnsi="Arial" w:cs="Times New Roman"/>
          <w:color w:val="auto"/>
          <w:sz w:val="18"/>
          <w:szCs w:val="20"/>
          <w:lang w:val="en-GB"/>
        </w:rPr>
        <w:t>80</w:t>
      </w:r>
      <w:r w:rsidR="0081365D" w:rsidRPr="007365A4">
        <w:rPr>
          <w:rFonts w:ascii="Arial" w:eastAsia="Times New Roman" w:hAnsi="Arial" w:cs="Times New Roman"/>
          <w:color w:val="auto"/>
          <w:sz w:val="18"/>
          <w:szCs w:val="20"/>
          <w:lang w:val="en-GB"/>
        </w:rPr>
        <w:t xml:space="preserve"> hours</w:t>
      </w:r>
      <w:r w:rsidR="00AF46A7" w:rsidRPr="007365A4">
        <w:rPr>
          <w:rFonts w:ascii="Arial" w:eastAsia="Times New Roman" w:hAnsi="Arial" w:cs="Times New Roman"/>
          <w:color w:val="auto"/>
          <w:sz w:val="18"/>
          <w:szCs w:val="20"/>
          <w:lang w:val="en-GB"/>
        </w:rPr>
        <w:t xml:space="preserve">. The antioxidant capacity </w:t>
      </w:r>
      <w:r w:rsidR="006B4BE0" w:rsidRPr="007365A4">
        <w:rPr>
          <w:rFonts w:ascii="Arial" w:eastAsia="Times New Roman" w:hAnsi="Arial" w:cs="Times New Roman"/>
          <w:color w:val="auto"/>
          <w:sz w:val="18"/>
          <w:szCs w:val="20"/>
          <w:lang w:val="en-GB"/>
        </w:rPr>
        <w:t xml:space="preserve">of the released MLE </w:t>
      </w:r>
      <w:r w:rsidR="00204184">
        <w:rPr>
          <w:rFonts w:ascii="Arial" w:eastAsia="Times New Roman" w:hAnsi="Arial" w:cs="Times New Roman"/>
          <w:color w:val="auto"/>
          <w:sz w:val="18"/>
          <w:szCs w:val="20"/>
          <w:lang w:val="en-GB"/>
        </w:rPr>
        <w:t>was</w:t>
      </w:r>
      <w:r w:rsidR="006B4BE0" w:rsidRPr="007365A4">
        <w:rPr>
          <w:rFonts w:ascii="Arial" w:eastAsia="Times New Roman" w:hAnsi="Arial" w:cs="Times New Roman"/>
          <w:color w:val="auto"/>
          <w:sz w:val="18"/>
          <w:szCs w:val="20"/>
          <w:lang w:val="en-GB"/>
        </w:rPr>
        <w:t xml:space="preserve"> evalu</w:t>
      </w:r>
      <w:r w:rsidR="000B7089" w:rsidRPr="007365A4">
        <w:rPr>
          <w:rFonts w:ascii="Arial" w:eastAsia="Times New Roman" w:hAnsi="Arial" w:cs="Times New Roman"/>
          <w:color w:val="auto"/>
          <w:sz w:val="18"/>
          <w:szCs w:val="20"/>
          <w:lang w:val="en-GB"/>
        </w:rPr>
        <w:t>a</w:t>
      </w:r>
      <w:r w:rsidR="006B4BE0" w:rsidRPr="007365A4">
        <w:rPr>
          <w:rFonts w:ascii="Arial" w:eastAsia="Times New Roman" w:hAnsi="Arial" w:cs="Times New Roman"/>
          <w:color w:val="auto"/>
          <w:sz w:val="18"/>
          <w:szCs w:val="20"/>
          <w:lang w:val="en-GB"/>
        </w:rPr>
        <w:t>ted in the same</w:t>
      </w:r>
      <w:r w:rsidR="000B7089" w:rsidRPr="007365A4">
        <w:rPr>
          <w:rFonts w:ascii="Arial" w:eastAsia="Times New Roman" w:hAnsi="Arial" w:cs="Times New Roman"/>
          <w:color w:val="auto"/>
          <w:sz w:val="18"/>
          <w:szCs w:val="20"/>
          <w:lang w:val="en-GB"/>
        </w:rPr>
        <w:t xml:space="preserve"> way </w:t>
      </w:r>
      <w:r w:rsidR="00814051" w:rsidRPr="007365A4">
        <w:rPr>
          <w:rFonts w:ascii="Arial" w:eastAsia="Times New Roman" w:hAnsi="Arial" w:cs="Times New Roman"/>
          <w:color w:val="auto"/>
          <w:sz w:val="18"/>
          <w:szCs w:val="20"/>
          <w:lang w:val="en-GB"/>
        </w:rPr>
        <w:t xml:space="preserve">as </w:t>
      </w:r>
      <w:r w:rsidR="00020E8F" w:rsidRPr="007365A4">
        <w:rPr>
          <w:rFonts w:ascii="Arial" w:eastAsia="Times New Roman" w:hAnsi="Arial" w:cs="Times New Roman"/>
          <w:color w:val="auto"/>
          <w:sz w:val="18"/>
          <w:szCs w:val="20"/>
          <w:lang w:val="en-GB"/>
        </w:rPr>
        <w:t xml:space="preserve">described </w:t>
      </w:r>
      <w:r w:rsidR="00814051" w:rsidRPr="007365A4">
        <w:rPr>
          <w:rFonts w:ascii="Arial" w:eastAsia="Times New Roman" w:hAnsi="Arial" w:cs="Times New Roman"/>
          <w:color w:val="auto"/>
          <w:sz w:val="18"/>
          <w:szCs w:val="20"/>
          <w:lang w:val="en-GB"/>
        </w:rPr>
        <w:t>for the extract (section 2.2)</w:t>
      </w:r>
      <w:r w:rsidR="0067462D" w:rsidRPr="007365A4">
        <w:rPr>
          <w:rFonts w:ascii="Arial" w:eastAsia="Times New Roman" w:hAnsi="Arial" w:cs="Times New Roman"/>
          <w:color w:val="auto"/>
          <w:sz w:val="18"/>
          <w:szCs w:val="20"/>
          <w:lang w:val="en-GB"/>
        </w:rPr>
        <w:t>.</w:t>
      </w:r>
      <w:r w:rsidR="00234B29" w:rsidRPr="007365A4">
        <w:rPr>
          <w:rFonts w:ascii="Arial" w:eastAsia="Times New Roman" w:hAnsi="Arial" w:cs="Times New Roman"/>
          <w:color w:val="auto"/>
          <w:sz w:val="18"/>
          <w:szCs w:val="20"/>
          <w:lang w:val="en-GB"/>
        </w:rPr>
        <w:t xml:space="preserve"> In this case, </w:t>
      </w:r>
      <w:r w:rsidR="00BF5658" w:rsidRPr="007365A4">
        <w:rPr>
          <w:rFonts w:ascii="Arial" w:eastAsia="Times New Roman" w:hAnsi="Arial" w:cs="Times New Roman"/>
          <w:color w:val="auto"/>
          <w:sz w:val="18"/>
          <w:szCs w:val="20"/>
          <w:lang w:val="en-GB"/>
        </w:rPr>
        <w:t xml:space="preserve">the </w:t>
      </w:r>
      <w:r w:rsidR="00FD33F0" w:rsidRPr="007365A4">
        <w:rPr>
          <w:rFonts w:ascii="Arial" w:eastAsia="Times New Roman" w:hAnsi="Arial" w:cs="Times New Roman"/>
          <w:color w:val="auto"/>
          <w:sz w:val="18"/>
          <w:szCs w:val="20"/>
          <w:lang w:val="en-GB"/>
        </w:rPr>
        <w:t>PBS</w:t>
      </w:r>
      <w:r w:rsidR="00F94BB1" w:rsidRPr="007365A4">
        <w:rPr>
          <w:rFonts w:ascii="Arial" w:eastAsia="Times New Roman" w:hAnsi="Arial" w:cs="Times New Roman"/>
          <w:color w:val="auto"/>
          <w:sz w:val="18"/>
          <w:szCs w:val="20"/>
          <w:lang w:val="en-GB"/>
        </w:rPr>
        <w:t xml:space="preserve"> solution was used </w:t>
      </w:r>
      <w:r w:rsidR="00020E8F" w:rsidRPr="007365A4">
        <w:rPr>
          <w:rFonts w:ascii="Arial" w:eastAsia="Times New Roman" w:hAnsi="Arial" w:cs="Times New Roman"/>
          <w:color w:val="auto"/>
          <w:sz w:val="18"/>
          <w:szCs w:val="20"/>
          <w:lang w:val="en-GB"/>
        </w:rPr>
        <w:t xml:space="preserve">as </w:t>
      </w:r>
      <w:r w:rsidR="00750D48">
        <w:rPr>
          <w:rFonts w:ascii="Arial" w:eastAsia="Times New Roman" w:hAnsi="Arial" w:cs="Times New Roman"/>
          <w:color w:val="auto"/>
          <w:sz w:val="18"/>
          <w:szCs w:val="20"/>
          <w:lang w:val="en-GB"/>
        </w:rPr>
        <w:t xml:space="preserve">a </w:t>
      </w:r>
      <w:r w:rsidR="00020E8F" w:rsidRPr="007365A4">
        <w:rPr>
          <w:rFonts w:ascii="Arial" w:eastAsia="Times New Roman" w:hAnsi="Arial" w:cs="Times New Roman"/>
          <w:color w:val="auto"/>
          <w:sz w:val="18"/>
          <w:szCs w:val="20"/>
          <w:lang w:val="en-GB"/>
        </w:rPr>
        <w:t>control of the reaction</w:t>
      </w:r>
      <w:r w:rsidR="00B649DE" w:rsidRPr="007365A4">
        <w:rPr>
          <w:rFonts w:ascii="Arial" w:eastAsia="Times New Roman" w:hAnsi="Arial" w:cs="Times New Roman"/>
          <w:color w:val="auto"/>
          <w:sz w:val="18"/>
          <w:szCs w:val="20"/>
          <w:lang w:val="en-GB"/>
        </w:rPr>
        <w:t>.</w:t>
      </w:r>
    </w:p>
    <w:p w14:paraId="11957254" w14:textId="3034170A" w:rsidR="00951C7B" w:rsidRDefault="00951C7B" w:rsidP="00E20128">
      <w:pPr>
        <w:pStyle w:val="CETheadingx"/>
        <w:rPr>
          <w:lang w:val="en-GB"/>
        </w:rPr>
      </w:pPr>
      <w:r>
        <w:rPr>
          <w:lang w:val="en-GB"/>
        </w:rPr>
        <w:t>Statistical analysis</w:t>
      </w:r>
    </w:p>
    <w:p w14:paraId="432A2B1F" w14:textId="1D235665" w:rsidR="00951C7B" w:rsidRPr="001357F6" w:rsidRDefault="00017A23" w:rsidP="005C174C">
      <w:pPr>
        <w:tabs>
          <w:tab w:val="clear" w:pos="7100"/>
        </w:tabs>
        <w:autoSpaceDE w:val="0"/>
        <w:autoSpaceDN w:val="0"/>
        <w:adjustRightInd w:val="0"/>
        <w:spacing w:line="240" w:lineRule="auto"/>
        <w:jc w:val="left"/>
        <w:rPr>
          <w:lang w:val="en-US"/>
        </w:rPr>
      </w:pPr>
      <w:r w:rsidRPr="00017A23">
        <w:t xml:space="preserve">All experiments were performed in </w:t>
      </w:r>
      <w:r w:rsidR="00205768" w:rsidRPr="00017A23">
        <w:t>duplicate</w:t>
      </w:r>
      <w:r w:rsidR="00205768">
        <w:t xml:space="preserve"> </w:t>
      </w:r>
      <w:r w:rsidRPr="00017A23">
        <w:t>and the results show the mean and the standard deviation in the error bars.</w:t>
      </w:r>
      <w:r w:rsidR="001455EB">
        <w:t xml:space="preserve"> </w:t>
      </w:r>
      <w:r w:rsidR="001357F6" w:rsidRPr="001357F6">
        <w:rPr>
          <w:lang w:val="en-US"/>
        </w:rPr>
        <w:t>To find significant differences between groups</w:t>
      </w:r>
      <w:r w:rsidR="003B632D">
        <w:rPr>
          <w:lang w:val="en-US"/>
        </w:rPr>
        <w:t xml:space="preserve"> of results</w:t>
      </w:r>
      <w:r w:rsidR="001357F6" w:rsidRPr="001357F6">
        <w:rPr>
          <w:lang w:val="en-US"/>
        </w:rPr>
        <w:t>, simple variance analysis studies were carried out using Fisher's Least Significant Difference (LSD) procedure.</w:t>
      </w:r>
    </w:p>
    <w:p w14:paraId="5741900F" w14:textId="7A691A4C" w:rsidR="00453E24" w:rsidRPr="007365A4" w:rsidRDefault="00CB42FD" w:rsidP="00453E24">
      <w:pPr>
        <w:pStyle w:val="CETHeading1"/>
        <w:rPr>
          <w:lang w:val="en-GB"/>
        </w:rPr>
      </w:pPr>
      <w:r w:rsidRPr="007365A4">
        <w:rPr>
          <w:lang w:val="en-GB"/>
        </w:rPr>
        <w:t>Results and discussion</w:t>
      </w:r>
    </w:p>
    <w:p w14:paraId="1AFCB763" w14:textId="32899F06" w:rsidR="00C70EB0" w:rsidRDefault="00C70EB0" w:rsidP="00C76428">
      <w:pPr>
        <w:pStyle w:val="CETBodytext"/>
        <w:rPr>
          <w:lang w:val="en-GB"/>
        </w:rPr>
      </w:pPr>
      <w:r w:rsidRPr="007365A4">
        <w:rPr>
          <w:lang w:val="en-GB"/>
        </w:rPr>
        <w:t>The mango extract obtained using ethanol and CO</w:t>
      </w:r>
      <w:r w:rsidRPr="007365A4">
        <w:rPr>
          <w:vertAlign w:val="subscript"/>
          <w:lang w:val="en-GB"/>
        </w:rPr>
        <w:t>2</w:t>
      </w:r>
      <w:r w:rsidRPr="007365A4">
        <w:rPr>
          <w:lang w:val="en-GB"/>
        </w:rPr>
        <w:t xml:space="preserve"> at high pressures</w:t>
      </w:r>
      <w:r w:rsidR="00F539C6" w:rsidRPr="007365A4">
        <w:rPr>
          <w:lang w:val="en-GB"/>
        </w:rPr>
        <w:t xml:space="preserve"> </w:t>
      </w:r>
      <w:r w:rsidR="009125FB" w:rsidRPr="007365A4">
        <w:rPr>
          <w:lang w:val="en-GB"/>
        </w:rPr>
        <w:t xml:space="preserve">showed an average concentration of </w:t>
      </w:r>
      <w:r w:rsidR="00B72DFA" w:rsidRPr="007365A4">
        <w:rPr>
          <w:lang w:val="en-GB"/>
        </w:rPr>
        <w:t>48</w:t>
      </w:r>
      <w:r w:rsidR="006E3B1C" w:rsidRPr="007365A4">
        <w:rPr>
          <w:lang w:val="en-GB"/>
        </w:rPr>
        <w:t xml:space="preserve"> g/L.</w:t>
      </w:r>
      <w:r w:rsidR="00742473">
        <w:rPr>
          <w:lang w:val="en-GB"/>
        </w:rPr>
        <w:t xml:space="preserve"> C</w:t>
      </w:r>
      <w:r w:rsidR="00AD240A" w:rsidRPr="007365A4">
        <w:rPr>
          <w:lang w:val="en-GB"/>
        </w:rPr>
        <w:t>alculated IC</w:t>
      </w:r>
      <w:r w:rsidR="00324E0E" w:rsidRPr="007365A4">
        <w:rPr>
          <w:vertAlign w:val="subscript"/>
          <w:lang w:val="en-GB"/>
        </w:rPr>
        <w:t>50</w:t>
      </w:r>
      <w:r w:rsidR="00324E0E" w:rsidRPr="007365A4">
        <w:rPr>
          <w:lang w:val="en-GB"/>
        </w:rPr>
        <w:t xml:space="preserve"> </w:t>
      </w:r>
      <w:r w:rsidR="000E7412" w:rsidRPr="007365A4">
        <w:rPr>
          <w:lang w:val="en-GB"/>
        </w:rPr>
        <w:t>was</w:t>
      </w:r>
      <w:r w:rsidR="0099273E" w:rsidRPr="007365A4">
        <w:rPr>
          <w:lang w:val="en-GB"/>
        </w:rPr>
        <w:t xml:space="preserve"> </w:t>
      </w:r>
      <w:r w:rsidR="00AD0ED4" w:rsidRPr="007365A4">
        <w:rPr>
          <w:lang w:val="en-GB"/>
        </w:rPr>
        <w:t>9.37 mg/L</w:t>
      </w:r>
      <w:r w:rsidR="00021234" w:rsidRPr="007365A4">
        <w:rPr>
          <w:lang w:val="en-GB"/>
        </w:rPr>
        <w:t xml:space="preserve"> and the AAI was </w:t>
      </w:r>
      <w:r w:rsidR="00F01F39" w:rsidRPr="007365A4">
        <w:rPr>
          <w:lang w:val="en-GB"/>
        </w:rPr>
        <w:t>2.47</w:t>
      </w:r>
      <w:r w:rsidR="00AD0ED4" w:rsidRPr="007365A4">
        <w:rPr>
          <w:lang w:val="en-GB"/>
        </w:rPr>
        <w:t>.</w:t>
      </w:r>
      <w:r w:rsidR="00F01F39" w:rsidRPr="007365A4">
        <w:rPr>
          <w:lang w:val="en-GB"/>
        </w:rPr>
        <w:t xml:space="preserve"> According to Scherer and </w:t>
      </w:r>
      <w:r w:rsidR="0005407D">
        <w:rPr>
          <w:lang w:val="en-GB"/>
        </w:rPr>
        <w:t>Godoy’s</w:t>
      </w:r>
      <w:r w:rsidR="00F01F39" w:rsidRPr="007365A4">
        <w:rPr>
          <w:lang w:val="en-GB"/>
        </w:rPr>
        <w:t xml:space="preserve"> classification (</w:t>
      </w:r>
      <w:r w:rsidR="00185A68" w:rsidRPr="007365A4">
        <w:rPr>
          <w:lang w:val="en-GB"/>
        </w:rPr>
        <w:t>Scherer and Godoy, 2009</w:t>
      </w:r>
      <w:r w:rsidR="00F01F39" w:rsidRPr="007365A4">
        <w:rPr>
          <w:lang w:val="en-GB"/>
        </w:rPr>
        <w:t>)</w:t>
      </w:r>
      <w:r w:rsidR="0005407D">
        <w:rPr>
          <w:lang w:val="en-GB"/>
        </w:rPr>
        <w:t>,</w:t>
      </w:r>
      <w:r w:rsidR="0094096A" w:rsidRPr="007365A4">
        <w:rPr>
          <w:lang w:val="en-GB"/>
        </w:rPr>
        <w:t xml:space="preserve"> </w:t>
      </w:r>
      <w:r w:rsidR="005F7DA0" w:rsidRPr="007365A4">
        <w:rPr>
          <w:lang w:val="en-GB"/>
        </w:rPr>
        <w:t xml:space="preserve">it </w:t>
      </w:r>
      <w:r w:rsidR="00007BF8" w:rsidRPr="007365A4">
        <w:rPr>
          <w:lang w:val="en-GB"/>
        </w:rPr>
        <w:t>wa</w:t>
      </w:r>
      <w:r w:rsidR="005F7DA0" w:rsidRPr="007365A4">
        <w:rPr>
          <w:lang w:val="en-GB"/>
        </w:rPr>
        <w:t>s a</w:t>
      </w:r>
      <w:r w:rsidR="00C80BD7" w:rsidRPr="007365A4">
        <w:rPr>
          <w:lang w:val="en-GB"/>
        </w:rPr>
        <w:t>n extrac</w:t>
      </w:r>
      <w:r w:rsidR="00007BF8" w:rsidRPr="007365A4">
        <w:rPr>
          <w:lang w:val="en-GB"/>
        </w:rPr>
        <w:t>t</w:t>
      </w:r>
      <w:r w:rsidR="00C80BD7" w:rsidRPr="007365A4">
        <w:rPr>
          <w:lang w:val="en-GB"/>
        </w:rPr>
        <w:t xml:space="preserve"> with a very high antioxida</w:t>
      </w:r>
      <w:r w:rsidR="00007BF8" w:rsidRPr="007365A4">
        <w:rPr>
          <w:lang w:val="en-GB"/>
        </w:rPr>
        <w:t>nt power (AAI&gt;2).</w:t>
      </w:r>
      <w:r w:rsidR="00C80BD7" w:rsidRPr="007365A4">
        <w:rPr>
          <w:lang w:val="en-GB"/>
        </w:rPr>
        <w:t xml:space="preserve"> </w:t>
      </w:r>
      <w:r w:rsidR="00D16D12" w:rsidRPr="007365A4">
        <w:rPr>
          <w:lang w:val="en-GB"/>
        </w:rPr>
        <w:t>Other author</w:t>
      </w:r>
      <w:r w:rsidR="00CD4065" w:rsidRPr="007365A4">
        <w:rPr>
          <w:lang w:val="en-GB"/>
        </w:rPr>
        <w:t>s</w:t>
      </w:r>
      <w:r w:rsidR="00D16D12" w:rsidRPr="007365A4">
        <w:rPr>
          <w:lang w:val="en-GB"/>
        </w:rPr>
        <w:t xml:space="preserve"> </w:t>
      </w:r>
      <w:r w:rsidR="00C47A1D" w:rsidRPr="007365A4">
        <w:rPr>
          <w:lang w:val="en-GB"/>
        </w:rPr>
        <w:t>have</w:t>
      </w:r>
      <w:r w:rsidR="00CD4065" w:rsidRPr="007365A4">
        <w:rPr>
          <w:lang w:val="en-GB"/>
        </w:rPr>
        <w:t xml:space="preserve"> obtained </w:t>
      </w:r>
      <w:r w:rsidR="00E55074" w:rsidRPr="007365A4">
        <w:rPr>
          <w:lang w:val="en-GB"/>
        </w:rPr>
        <w:t xml:space="preserve">mango </w:t>
      </w:r>
      <w:r w:rsidR="00BA6E42" w:rsidRPr="007365A4">
        <w:rPr>
          <w:lang w:val="en-GB"/>
        </w:rPr>
        <w:t>leaf</w:t>
      </w:r>
      <w:r w:rsidR="00E55074" w:rsidRPr="007365A4">
        <w:rPr>
          <w:lang w:val="en-GB"/>
        </w:rPr>
        <w:t xml:space="preserve"> extract</w:t>
      </w:r>
      <w:r w:rsidR="00C47A1D" w:rsidRPr="007365A4">
        <w:rPr>
          <w:lang w:val="en-GB"/>
        </w:rPr>
        <w:t>s</w:t>
      </w:r>
      <w:r w:rsidR="00E55074" w:rsidRPr="007365A4">
        <w:rPr>
          <w:lang w:val="en-GB"/>
        </w:rPr>
        <w:t xml:space="preserve"> with</w:t>
      </w:r>
      <w:r w:rsidR="00C47A1D" w:rsidRPr="007365A4">
        <w:rPr>
          <w:lang w:val="en-GB"/>
        </w:rPr>
        <w:t xml:space="preserve"> comparative </w:t>
      </w:r>
      <w:r w:rsidR="008F6991" w:rsidRPr="007365A4">
        <w:rPr>
          <w:lang w:val="en-GB"/>
        </w:rPr>
        <w:t>antioxidant properties, for example</w:t>
      </w:r>
      <w:r w:rsidR="0005407D">
        <w:rPr>
          <w:lang w:val="en-GB"/>
        </w:rPr>
        <w:t>,</w:t>
      </w:r>
      <w:r w:rsidR="0058733C" w:rsidRPr="007365A4">
        <w:rPr>
          <w:lang w:val="en-GB"/>
        </w:rPr>
        <w:t xml:space="preserve"> </w:t>
      </w:r>
      <w:r w:rsidR="00743870" w:rsidRPr="007365A4">
        <w:rPr>
          <w:lang w:val="en-GB"/>
        </w:rPr>
        <w:t>Itoh</w:t>
      </w:r>
      <w:r w:rsidR="008F6991" w:rsidRPr="007365A4">
        <w:rPr>
          <w:lang w:val="en-GB"/>
        </w:rPr>
        <w:t xml:space="preserve"> </w:t>
      </w:r>
      <w:r w:rsidR="00743870" w:rsidRPr="007365A4">
        <w:rPr>
          <w:lang w:val="en-GB"/>
        </w:rPr>
        <w:t>and cow</w:t>
      </w:r>
      <w:r w:rsidR="009D3DF9" w:rsidRPr="007365A4">
        <w:rPr>
          <w:lang w:val="en-GB"/>
        </w:rPr>
        <w:t>o</w:t>
      </w:r>
      <w:r w:rsidR="00743870" w:rsidRPr="007365A4">
        <w:rPr>
          <w:lang w:val="en-GB"/>
        </w:rPr>
        <w:t>rkers (I</w:t>
      </w:r>
      <w:r w:rsidR="00635BC0" w:rsidRPr="007365A4">
        <w:rPr>
          <w:lang w:val="en-GB"/>
        </w:rPr>
        <w:t>toh et al, 2020) obtained a methanolic mango leaf extract with an IC</w:t>
      </w:r>
      <w:r w:rsidR="00635BC0" w:rsidRPr="00550700">
        <w:rPr>
          <w:vertAlign w:val="subscript"/>
          <w:lang w:val="en-GB"/>
        </w:rPr>
        <w:t>50</w:t>
      </w:r>
      <w:r w:rsidR="00635BC0" w:rsidRPr="007365A4">
        <w:rPr>
          <w:lang w:val="en-GB"/>
        </w:rPr>
        <w:t xml:space="preserve"> of 9</w:t>
      </w:r>
      <w:r w:rsidR="00E55074" w:rsidRPr="007365A4">
        <w:rPr>
          <w:lang w:val="en-GB"/>
        </w:rPr>
        <w:t xml:space="preserve"> </w:t>
      </w:r>
      <w:r w:rsidR="00635BC0" w:rsidRPr="007365A4">
        <w:rPr>
          <w:lang w:val="en-GB"/>
        </w:rPr>
        <w:t>mg/</w:t>
      </w:r>
      <w:r w:rsidR="00091AA3" w:rsidRPr="007365A4">
        <w:rPr>
          <w:lang w:val="en-GB"/>
        </w:rPr>
        <w:t>L.</w:t>
      </w:r>
    </w:p>
    <w:p w14:paraId="7AF03268" w14:textId="77777777" w:rsidR="00A7526B" w:rsidRDefault="00A7526B" w:rsidP="00C76428">
      <w:pPr>
        <w:pStyle w:val="CETBodytext"/>
        <w:rPr>
          <w:lang w:val="en-GB"/>
        </w:rPr>
      </w:pPr>
    </w:p>
    <w:p w14:paraId="14B8EBE0" w14:textId="77777777" w:rsidR="00A7526B" w:rsidRPr="007365A4" w:rsidRDefault="00A7526B" w:rsidP="00A7526B">
      <w:pPr>
        <w:pStyle w:val="CETBodytext"/>
        <w:jc w:val="left"/>
        <w:rPr>
          <w:lang w:val="en-GB"/>
        </w:rPr>
      </w:pPr>
      <w:r>
        <w:rPr>
          <w:noProof/>
          <w:lang w:val="es-ES" w:eastAsia="es-ES"/>
        </w:rPr>
        <w:drawing>
          <wp:inline distT="0" distB="0" distL="0" distR="0" wp14:anchorId="79AC8963" wp14:editId="6B1FA62E">
            <wp:extent cx="2844165" cy="1581150"/>
            <wp:effectExtent l="0" t="0" r="13335" b="0"/>
            <wp:docPr id="1" name="Gráfico 1">
              <a:extLst xmlns:a="http://schemas.openxmlformats.org/drawingml/2006/main">
                <a:ext uri="{FF2B5EF4-FFF2-40B4-BE49-F238E27FC236}">
                  <a16:creationId xmlns:a16="http://schemas.microsoft.com/office/drawing/2014/main" id="{8E3B0FEC-C18B-4DB9-8758-965E667CD90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53DA9EC" w14:textId="77777777" w:rsidR="00A7526B" w:rsidRPr="007365A4" w:rsidRDefault="00A7526B" w:rsidP="00A7526B">
      <w:pPr>
        <w:pStyle w:val="CETCaption"/>
        <w:rPr>
          <w:rStyle w:val="CETCaptionCarattere"/>
          <w:i/>
        </w:rPr>
      </w:pPr>
      <w:r w:rsidRPr="007365A4">
        <w:rPr>
          <w:rStyle w:val="CETCaptionCarattere"/>
          <w:i/>
        </w:rPr>
        <w:t>Figure 1: Comparative MLE impregnation loading in PLA and TPU at different working pressures.</w:t>
      </w:r>
      <w:r w:rsidRPr="00963B4B">
        <w:rPr>
          <w:i w:val="0"/>
        </w:rPr>
        <w:t xml:space="preserve"> </w:t>
      </w:r>
      <w:r>
        <w:rPr>
          <w:rStyle w:val="CETCaptionCarattere"/>
          <w:i/>
        </w:rPr>
        <w:t xml:space="preserve">Different letters </w:t>
      </w:r>
      <w:r w:rsidRPr="00E10F24">
        <w:rPr>
          <w:rStyle w:val="CETCaptionCarattere"/>
          <w:i/>
        </w:rPr>
        <w:t xml:space="preserve">at the top of the bars </w:t>
      </w:r>
      <w:r>
        <w:rPr>
          <w:rStyle w:val="CETCaptionCarattere"/>
          <w:i/>
        </w:rPr>
        <w:t xml:space="preserve">(a,b,c,d) means significative </w:t>
      </w:r>
      <w:r w:rsidRPr="00E10F24">
        <w:rPr>
          <w:rStyle w:val="CETCaptionCarattere"/>
          <w:i/>
        </w:rPr>
        <w:t>differences between the groups</w:t>
      </w:r>
      <w:r>
        <w:rPr>
          <w:rStyle w:val="CETCaptionCarattere"/>
          <w:i/>
        </w:rPr>
        <w:t xml:space="preserve"> with a 95% confidence level (</w:t>
      </w:r>
      <w:r w:rsidRPr="001F2408">
        <w:rPr>
          <w:rStyle w:val="CETCaptionCarattere"/>
          <w:i/>
        </w:rPr>
        <w:t>p&lt;0</w:t>
      </w:r>
      <w:r>
        <w:rPr>
          <w:rStyle w:val="CETCaptionCarattere"/>
          <w:i/>
        </w:rPr>
        <w:t>.05)</w:t>
      </w:r>
      <w:r w:rsidRPr="00E10F24">
        <w:rPr>
          <w:rStyle w:val="CETCaptionCarattere"/>
          <w:i/>
        </w:rPr>
        <w:t>.</w:t>
      </w:r>
    </w:p>
    <w:p w14:paraId="6923BFAC" w14:textId="59B88E6E" w:rsidR="00291F4E" w:rsidRPr="007365A4" w:rsidRDefault="00F166E6" w:rsidP="00453E24">
      <w:pPr>
        <w:pStyle w:val="CETBodytext"/>
        <w:rPr>
          <w:color w:val="000000" w:themeColor="text1"/>
          <w:lang w:val="en-GB"/>
        </w:rPr>
      </w:pPr>
      <w:r w:rsidRPr="007365A4">
        <w:rPr>
          <w:color w:val="000000" w:themeColor="text1"/>
          <w:lang w:val="en-GB"/>
        </w:rPr>
        <w:t>Regarding the impregnation</w:t>
      </w:r>
      <w:r w:rsidR="006258F1" w:rsidRPr="007365A4">
        <w:rPr>
          <w:color w:val="000000" w:themeColor="text1"/>
          <w:lang w:val="en-GB"/>
        </w:rPr>
        <w:t>,</w:t>
      </w:r>
      <w:r w:rsidR="00E10FBA" w:rsidRPr="007365A4">
        <w:rPr>
          <w:color w:val="000000" w:themeColor="text1"/>
          <w:lang w:val="en-GB"/>
        </w:rPr>
        <w:t xml:space="preserve"> F</w:t>
      </w:r>
      <w:r w:rsidR="006258F1" w:rsidRPr="007365A4">
        <w:rPr>
          <w:color w:val="000000" w:themeColor="text1"/>
          <w:lang w:val="en-GB"/>
        </w:rPr>
        <w:t xml:space="preserve">igure 1 </w:t>
      </w:r>
      <w:r w:rsidR="00E10FBA" w:rsidRPr="007365A4">
        <w:rPr>
          <w:color w:val="000000" w:themeColor="text1"/>
          <w:lang w:val="en-GB"/>
        </w:rPr>
        <w:t>show</w:t>
      </w:r>
      <w:r w:rsidR="00A45522" w:rsidRPr="007365A4">
        <w:rPr>
          <w:color w:val="000000" w:themeColor="text1"/>
          <w:lang w:val="en-GB"/>
        </w:rPr>
        <w:t>s</w:t>
      </w:r>
      <w:r w:rsidR="00E10FBA" w:rsidRPr="007365A4">
        <w:rPr>
          <w:color w:val="000000" w:themeColor="text1"/>
          <w:lang w:val="en-GB"/>
        </w:rPr>
        <w:t xml:space="preserve"> the </w:t>
      </w:r>
      <w:r w:rsidR="007479A9" w:rsidRPr="007365A4">
        <w:rPr>
          <w:color w:val="000000" w:themeColor="text1"/>
          <w:lang w:val="en-GB"/>
        </w:rPr>
        <w:t>quantification of MLE</w:t>
      </w:r>
      <w:r w:rsidR="002265B1" w:rsidRPr="007365A4">
        <w:rPr>
          <w:color w:val="000000" w:themeColor="text1"/>
          <w:lang w:val="en-GB"/>
        </w:rPr>
        <w:t xml:space="preserve"> impregnated</w:t>
      </w:r>
      <w:r w:rsidR="00A45522" w:rsidRPr="007365A4">
        <w:rPr>
          <w:color w:val="000000" w:themeColor="text1"/>
          <w:lang w:val="en-GB"/>
        </w:rPr>
        <w:t xml:space="preserve"> by SSI in the two polymers at different working pressures. </w:t>
      </w:r>
      <w:r w:rsidR="00381110" w:rsidRPr="007365A4">
        <w:rPr>
          <w:color w:val="000000" w:themeColor="text1"/>
          <w:lang w:val="en-GB"/>
        </w:rPr>
        <w:t>The MLE load depends on the complex interrelationships between CO</w:t>
      </w:r>
      <w:r w:rsidR="00381110" w:rsidRPr="007365A4">
        <w:rPr>
          <w:color w:val="000000" w:themeColor="text1"/>
          <w:vertAlign w:val="subscript"/>
          <w:lang w:val="en-GB"/>
        </w:rPr>
        <w:t>2</w:t>
      </w:r>
      <w:r w:rsidR="00381110" w:rsidRPr="007365A4">
        <w:rPr>
          <w:color w:val="000000" w:themeColor="text1"/>
          <w:lang w:val="en-GB"/>
        </w:rPr>
        <w:t xml:space="preserve"> in the supercritical state, the polymer</w:t>
      </w:r>
      <w:r w:rsidR="00B9195F">
        <w:rPr>
          <w:color w:val="000000" w:themeColor="text1"/>
          <w:lang w:val="en-GB"/>
        </w:rPr>
        <w:t>,</w:t>
      </w:r>
      <w:r w:rsidR="00381110" w:rsidRPr="007365A4">
        <w:rPr>
          <w:color w:val="000000" w:themeColor="text1"/>
          <w:lang w:val="en-GB"/>
        </w:rPr>
        <w:t xml:space="preserve"> and the </w:t>
      </w:r>
      <w:r w:rsidR="00A575E6" w:rsidRPr="007365A4">
        <w:rPr>
          <w:color w:val="000000" w:themeColor="text1"/>
          <w:lang w:val="en-GB"/>
        </w:rPr>
        <w:t>extract.</w:t>
      </w:r>
      <w:r w:rsidR="00381110" w:rsidRPr="007365A4">
        <w:rPr>
          <w:color w:val="000000" w:themeColor="text1"/>
          <w:lang w:val="en-GB"/>
        </w:rPr>
        <w:t xml:space="preserve"> </w:t>
      </w:r>
      <w:r w:rsidR="00430D2D" w:rsidRPr="007365A4">
        <w:rPr>
          <w:color w:val="000000" w:themeColor="text1"/>
          <w:lang w:val="en-GB"/>
        </w:rPr>
        <w:t xml:space="preserve">First of all, a higher </w:t>
      </w:r>
      <w:r w:rsidR="002265B1" w:rsidRPr="007365A4">
        <w:rPr>
          <w:color w:val="000000" w:themeColor="text1"/>
          <w:lang w:val="en-GB"/>
        </w:rPr>
        <w:t>loading</w:t>
      </w:r>
      <w:r w:rsidR="00430D2D" w:rsidRPr="007365A4">
        <w:rPr>
          <w:color w:val="000000" w:themeColor="text1"/>
          <w:lang w:val="en-GB"/>
        </w:rPr>
        <w:t xml:space="preserve"> is observed in the case of TPU, which is on the order of 10 times higher than that of PLA.</w:t>
      </w:r>
      <w:r w:rsidR="00534E41" w:rsidRPr="007365A4">
        <w:rPr>
          <w:color w:val="000000" w:themeColor="text1"/>
          <w:lang w:val="en-GB"/>
        </w:rPr>
        <w:t xml:space="preserve"> </w:t>
      </w:r>
      <w:r w:rsidR="00825B97" w:rsidRPr="007365A4">
        <w:rPr>
          <w:color w:val="000000" w:themeColor="text1"/>
          <w:lang w:val="en-GB"/>
        </w:rPr>
        <w:t xml:space="preserve">The difference in these results may </w:t>
      </w:r>
      <w:r w:rsidR="00BA6E42" w:rsidRPr="007365A4">
        <w:rPr>
          <w:color w:val="000000" w:themeColor="text1"/>
          <w:lang w:val="en-GB"/>
        </w:rPr>
        <w:t>lie both in</w:t>
      </w:r>
      <w:r w:rsidR="00825B97" w:rsidRPr="007365A4">
        <w:rPr>
          <w:color w:val="000000" w:themeColor="text1"/>
          <w:lang w:val="en-GB"/>
        </w:rPr>
        <w:t xml:space="preserve"> the structure </w:t>
      </w:r>
      <w:r w:rsidR="00BA6E42" w:rsidRPr="007365A4">
        <w:rPr>
          <w:color w:val="000000" w:themeColor="text1"/>
          <w:lang w:val="en-GB"/>
        </w:rPr>
        <w:t xml:space="preserve">and the composition </w:t>
      </w:r>
      <w:r w:rsidR="00825B97" w:rsidRPr="007365A4">
        <w:rPr>
          <w:color w:val="000000" w:themeColor="text1"/>
          <w:lang w:val="en-GB"/>
        </w:rPr>
        <w:t xml:space="preserve">of the polymers, </w:t>
      </w:r>
      <w:r w:rsidR="00BA6E42" w:rsidRPr="007365A4">
        <w:rPr>
          <w:color w:val="000000" w:themeColor="text1"/>
          <w:lang w:val="en-GB"/>
        </w:rPr>
        <w:t xml:space="preserve">determining a better </w:t>
      </w:r>
      <w:r w:rsidR="00825B97" w:rsidRPr="007365A4">
        <w:rPr>
          <w:color w:val="000000" w:themeColor="text1"/>
          <w:lang w:val="en-GB"/>
        </w:rPr>
        <w:t xml:space="preserve">penetration of the extract molecules </w:t>
      </w:r>
      <w:r w:rsidR="00BA6E42" w:rsidRPr="007365A4">
        <w:rPr>
          <w:color w:val="000000" w:themeColor="text1"/>
          <w:lang w:val="en-GB"/>
        </w:rPr>
        <w:t>and better</w:t>
      </w:r>
      <w:r w:rsidR="00825B97" w:rsidRPr="007365A4">
        <w:rPr>
          <w:color w:val="000000" w:themeColor="text1"/>
          <w:lang w:val="en-GB"/>
        </w:rPr>
        <w:t xml:space="preserve"> chemical interactions between extract and polymer.</w:t>
      </w:r>
      <w:r w:rsidR="009E1848" w:rsidRPr="007365A4">
        <w:rPr>
          <w:color w:val="000000" w:themeColor="text1"/>
          <w:lang w:val="en-GB"/>
        </w:rPr>
        <w:t xml:space="preserve"> </w:t>
      </w:r>
      <w:r w:rsidR="00117FF4" w:rsidRPr="007365A4">
        <w:rPr>
          <w:color w:val="000000" w:themeColor="text1"/>
          <w:lang w:val="en-GB"/>
        </w:rPr>
        <w:t>Machado and coworkers (Machado et al., 2022)</w:t>
      </w:r>
      <w:r w:rsidR="00406F3E" w:rsidRPr="007365A4">
        <w:rPr>
          <w:color w:val="000000" w:themeColor="text1"/>
          <w:lang w:val="en-GB"/>
        </w:rPr>
        <w:t xml:space="preserve"> </w:t>
      </w:r>
      <w:r w:rsidR="00BA1D75" w:rsidRPr="007365A4">
        <w:rPr>
          <w:color w:val="000000" w:themeColor="text1"/>
          <w:lang w:val="en-GB"/>
        </w:rPr>
        <w:t xml:space="preserve">estimated the </w:t>
      </w:r>
      <w:r w:rsidR="007044F2" w:rsidRPr="007365A4">
        <w:rPr>
          <w:color w:val="000000" w:themeColor="text1"/>
          <w:lang w:val="en-GB"/>
        </w:rPr>
        <w:t>swelling degree</w:t>
      </w:r>
      <w:r w:rsidR="00B9680D" w:rsidRPr="007365A4">
        <w:rPr>
          <w:color w:val="000000" w:themeColor="text1"/>
          <w:lang w:val="en-GB"/>
        </w:rPr>
        <w:t xml:space="preserve"> of these two polymers</w:t>
      </w:r>
      <w:r w:rsidR="000527D3" w:rsidRPr="007365A4">
        <w:rPr>
          <w:color w:val="000000" w:themeColor="text1"/>
          <w:lang w:val="en-GB"/>
        </w:rPr>
        <w:t xml:space="preserve"> </w:t>
      </w:r>
      <w:r w:rsidR="001846D8" w:rsidRPr="007365A4">
        <w:rPr>
          <w:color w:val="000000" w:themeColor="text1"/>
          <w:lang w:val="en-GB"/>
        </w:rPr>
        <w:t xml:space="preserve">during de supercritical impregnation. They found </w:t>
      </w:r>
      <w:r w:rsidR="009A63AD" w:rsidRPr="007365A4">
        <w:rPr>
          <w:color w:val="000000" w:themeColor="text1"/>
          <w:lang w:val="en-GB"/>
        </w:rPr>
        <w:t xml:space="preserve">a larger swelling in the TPU </w:t>
      </w:r>
      <w:r w:rsidR="007B5551" w:rsidRPr="007365A4">
        <w:rPr>
          <w:color w:val="000000" w:themeColor="text1"/>
          <w:lang w:val="en-GB"/>
        </w:rPr>
        <w:t xml:space="preserve">than in the PLA, </w:t>
      </w:r>
      <w:r w:rsidR="00DA237C" w:rsidRPr="007365A4">
        <w:rPr>
          <w:color w:val="000000" w:themeColor="text1"/>
          <w:lang w:val="en-GB"/>
        </w:rPr>
        <w:t>which could explain why the MLE molecules can diffuse better in the expanded structure of the TPU, producing an increase in the impregnation yield.</w:t>
      </w:r>
      <w:r w:rsidR="006910F5" w:rsidRPr="007365A4">
        <w:rPr>
          <w:color w:val="000000" w:themeColor="text1"/>
          <w:lang w:val="en-GB"/>
        </w:rPr>
        <w:t xml:space="preserve"> </w:t>
      </w:r>
      <w:r w:rsidR="009165A8">
        <w:rPr>
          <w:color w:val="000000" w:themeColor="text1"/>
          <w:lang w:val="en-GB"/>
        </w:rPr>
        <w:t>Regarding</w:t>
      </w:r>
      <w:r w:rsidR="006910F5" w:rsidRPr="007365A4">
        <w:rPr>
          <w:color w:val="000000" w:themeColor="text1"/>
          <w:lang w:val="en-GB"/>
        </w:rPr>
        <w:t xml:space="preserve"> the chemical interactions, t</w:t>
      </w:r>
      <w:r w:rsidR="00E503E9" w:rsidRPr="007365A4">
        <w:rPr>
          <w:color w:val="000000" w:themeColor="text1"/>
          <w:lang w:val="en-GB"/>
        </w:rPr>
        <w:t xml:space="preserve">he MLE is a complex </w:t>
      </w:r>
      <w:r w:rsidR="005911BC" w:rsidRPr="007365A4">
        <w:rPr>
          <w:color w:val="000000" w:themeColor="text1"/>
          <w:lang w:val="en-GB"/>
        </w:rPr>
        <w:t xml:space="preserve">mixture with a lot of </w:t>
      </w:r>
      <w:r w:rsidR="00C64862" w:rsidRPr="007365A4">
        <w:rPr>
          <w:color w:val="000000" w:themeColor="text1"/>
          <w:lang w:val="en-GB"/>
        </w:rPr>
        <w:t>different</w:t>
      </w:r>
      <w:r w:rsidR="005911BC" w:rsidRPr="007365A4">
        <w:rPr>
          <w:color w:val="000000" w:themeColor="text1"/>
          <w:lang w:val="en-GB"/>
        </w:rPr>
        <w:t xml:space="preserve"> </w:t>
      </w:r>
      <w:r w:rsidR="00C64862" w:rsidRPr="007365A4">
        <w:rPr>
          <w:color w:val="000000" w:themeColor="text1"/>
          <w:lang w:val="en-GB"/>
        </w:rPr>
        <w:t>compounds</w:t>
      </w:r>
      <w:r w:rsidR="00557AFB" w:rsidRPr="007365A4">
        <w:rPr>
          <w:color w:val="000000" w:themeColor="text1"/>
          <w:lang w:val="en-GB"/>
        </w:rPr>
        <w:t xml:space="preserve"> mostly represented by mangiferin</w:t>
      </w:r>
      <w:r w:rsidR="00C64862" w:rsidRPr="007365A4">
        <w:rPr>
          <w:color w:val="000000" w:themeColor="text1"/>
          <w:lang w:val="en-GB"/>
        </w:rPr>
        <w:t xml:space="preserve"> </w:t>
      </w:r>
      <w:r w:rsidR="00DA0D8B" w:rsidRPr="007365A4">
        <w:rPr>
          <w:color w:val="000000" w:themeColor="text1"/>
          <w:lang w:val="en-GB"/>
        </w:rPr>
        <w:t>(Figure 2</w:t>
      </w:r>
      <w:r w:rsidR="00CD7833" w:rsidRPr="007365A4">
        <w:rPr>
          <w:color w:val="000000" w:themeColor="text1"/>
          <w:lang w:val="en-GB"/>
        </w:rPr>
        <w:t>a)</w:t>
      </w:r>
      <w:r w:rsidR="00932F3B" w:rsidRPr="007365A4">
        <w:rPr>
          <w:color w:val="000000" w:themeColor="text1"/>
          <w:lang w:val="en-GB"/>
        </w:rPr>
        <w:t>, w</w:t>
      </w:r>
      <w:r w:rsidR="00CE185F" w:rsidRPr="007365A4">
        <w:rPr>
          <w:color w:val="000000" w:themeColor="text1"/>
          <w:lang w:val="en-GB"/>
        </w:rPr>
        <w:t xml:space="preserve">hich </w:t>
      </w:r>
      <w:r w:rsidR="00D65BCA">
        <w:rPr>
          <w:color w:val="000000" w:themeColor="text1"/>
          <w:lang w:val="en-GB"/>
        </w:rPr>
        <w:t>has</w:t>
      </w:r>
      <w:r w:rsidR="00CE185F" w:rsidRPr="007365A4">
        <w:rPr>
          <w:color w:val="000000" w:themeColor="text1"/>
          <w:lang w:val="en-GB"/>
        </w:rPr>
        <w:t xml:space="preserve"> </w:t>
      </w:r>
      <w:r w:rsidR="007C63C6" w:rsidRPr="007365A4">
        <w:rPr>
          <w:color w:val="000000" w:themeColor="text1"/>
          <w:lang w:val="en-GB"/>
        </w:rPr>
        <w:t xml:space="preserve">many </w:t>
      </w:r>
      <w:r w:rsidR="00CE185F" w:rsidRPr="007365A4">
        <w:rPr>
          <w:color w:val="000000" w:themeColor="text1"/>
          <w:lang w:val="en-GB"/>
        </w:rPr>
        <w:t>hydroxyl group</w:t>
      </w:r>
      <w:r w:rsidR="007C63C6" w:rsidRPr="007365A4">
        <w:rPr>
          <w:color w:val="000000" w:themeColor="text1"/>
          <w:lang w:val="en-GB"/>
        </w:rPr>
        <w:t>s</w:t>
      </w:r>
      <w:r w:rsidR="00CE185F" w:rsidRPr="007365A4">
        <w:rPr>
          <w:color w:val="000000" w:themeColor="text1"/>
          <w:lang w:val="en-GB"/>
        </w:rPr>
        <w:t xml:space="preserve"> </w:t>
      </w:r>
      <w:r w:rsidR="007C63C6" w:rsidRPr="007365A4">
        <w:rPr>
          <w:color w:val="000000" w:themeColor="text1"/>
          <w:lang w:val="en-GB"/>
        </w:rPr>
        <w:t>that</w:t>
      </w:r>
      <w:r w:rsidR="00CE185F" w:rsidRPr="007365A4">
        <w:rPr>
          <w:color w:val="000000" w:themeColor="text1"/>
          <w:lang w:val="en-GB"/>
        </w:rPr>
        <w:t xml:space="preserve"> c</w:t>
      </w:r>
      <w:r w:rsidR="00CC7F80" w:rsidRPr="007365A4">
        <w:rPr>
          <w:color w:val="000000" w:themeColor="text1"/>
          <w:lang w:val="en-GB"/>
        </w:rPr>
        <w:t>ould</w:t>
      </w:r>
      <w:r w:rsidR="00CE185F" w:rsidRPr="007365A4">
        <w:rPr>
          <w:color w:val="000000" w:themeColor="text1"/>
          <w:lang w:val="en-GB"/>
        </w:rPr>
        <w:t xml:space="preserve"> </w:t>
      </w:r>
      <w:r w:rsidR="003A0D36" w:rsidRPr="007365A4">
        <w:rPr>
          <w:color w:val="000000" w:themeColor="text1"/>
          <w:lang w:val="en-GB"/>
        </w:rPr>
        <w:t xml:space="preserve">interact via </w:t>
      </w:r>
      <w:r w:rsidR="00C4662C" w:rsidRPr="007365A4">
        <w:rPr>
          <w:color w:val="000000" w:themeColor="text1"/>
          <w:lang w:val="en-GB"/>
        </w:rPr>
        <w:t xml:space="preserve">H-bonds with the </w:t>
      </w:r>
      <w:r w:rsidR="00B0136B" w:rsidRPr="007365A4">
        <w:rPr>
          <w:color w:val="000000" w:themeColor="text1"/>
          <w:lang w:val="en-GB"/>
        </w:rPr>
        <w:t>carbonyl</w:t>
      </w:r>
      <w:r w:rsidR="00C4662C" w:rsidRPr="007365A4">
        <w:rPr>
          <w:color w:val="000000" w:themeColor="text1"/>
          <w:lang w:val="en-GB"/>
        </w:rPr>
        <w:t xml:space="preserve"> groups </w:t>
      </w:r>
      <w:r w:rsidR="00080274" w:rsidRPr="007365A4">
        <w:rPr>
          <w:color w:val="000000" w:themeColor="text1"/>
          <w:lang w:val="en-GB"/>
        </w:rPr>
        <w:t>of both polymers</w:t>
      </w:r>
      <w:r w:rsidR="00CD7833" w:rsidRPr="007365A4">
        <w:rPr>
          <w:color w:val="000000" w:themeColor="text1"/>
          <w:lang w:val="en-GB"/>
        </w:rPr>
        <w:t xml:space="preserve"> (Figure</w:t>
      </w:r>
      <w:r w:rsidR="00675F3B" w:rsidRPr="007365A4">
        <w:rPr>
          <w:color w:val="000000" w:themeColor="text1"/>
          <w:lang w:val="en-GB"/>
        </w:rPr>
        <w:t>s 2b and 2c)</w:t>
      </w:r>
      <w:r w:rsidR="00D60AF7" w:rsidRPr="007365A4">
        <w:rPr>
          <w:color w:val="000000" w:themeColor="text1"/>
          <w:lang w:val="en-GB"/>
        </w:rPr>
        <w:t>. F</w:t>
      </w:r>
      <w:r w:rsidR="00911CF4" w:rsidRPr="007365A4">
        <w:rPr>
          <w:color w:val="000000" w:themeColor="text1"/>
          <w:lang w:val="en-GB"/>
        </w:rPr>
        <w:t>urthermore</w:t>
      </w:r>
      <w:r w:rsidR="00D60AF7" w:rsidRPr="007365A4">
        <w:rPr>
          <w:color w:val="000000" w:themeColor="text1"/>
          <w:lang w:val="en-GB"/>
        </w:rPr>
        <w:t>,</w:t>
      </w:r>
      <w:r w:rsidR="001B751B" w:rsidRPr="007365A4">
        <w:rPr>
          <w:color w:val="000000" w:themeColor="text1"/>
          <w:lang w:val="en-GB"/>
        </w:rPr>
        <w:t xml:space="preserve"> in the case of TPU</w:t>
      </w:r>
      <w:r w:rsidR="00C1722D" w:rsidRPr="007365A4">
        <w:rPr>
          <w:color w:val="000000" w:themeColor="text1"/>
          <w:lang w:val="en-GB"/>
        </w:rPr>
        <w:t>,</w:t>
      </w:r>
      <w:r w:rsidR="001B751B" w:rsidRPr="007365A4">
        <w:rPr>
          <w:color w:val="000000" w:themeColor="text1"/>
          <w:lang w:val="en-GB"/>
        </w:rPr>
        <w:t xml:space="preserve"> </w:t>
      </w:r>
      <w:r w:rsidR="00EE0328" w:rsidRPr="007365A4">
        <w:rPr>
          <w:color w:val="000000" w:themeColor="text1"/>
          <w:lang w:val="en-GB"/>
        </w:rPr>
        <w:t>-</w:t>
      </w:r>
      <w:r w:rsidR="001B751B" w:rsidRPr="007365A4">
        <w:rPr>
          <w:color w:val="000000" w:themeColor="text1"/>
          <w:lang w:val="en-GB"/>
        </w:rPr>
        <w:t xml:space="preserve">NH groups </w:t>
      </w:r>
      <w:r w:rsidR="00C1722D" w:rsidRPr="007365A4">
        <w:rPr>
          <w:color w:val="000000" w:themeColor="text1"/>
          <w:lang w:val="en-GB"/>
        </w:rPr>
        <w:t>c</w:t>
      </w:r>
      <w:r w:rsidR="00CC7F80" w:rsidRPr="007365A4">
        <w:rPr>
          <w:color w:val="000000" w:themeColor="text1"/>
          <w:lang w:val="en-GB"/>
        </w:rPr>
        <w:t>ould</w:t>
      </w:r>
      <w:r w:rsidR="00C1722D" w:rsidRPr="007365A4">
        <w:rPr>
          <w:color w:val="000000" w:themeColor="text1"/>
          <w:lang w:val="en-GB"/>
        </w:rPr>
        <w:t xml:space="preserve"> </w:t>
      </w:r>
      <w:r w:rsidR="00634BF8" w:rsidRPr="007365A4">
        <w:rPr>
          <w:color w:val="000000" w:themeColor="text1"/>
          <w:lang w:val="en-GB"/>
        </w:rPr>
        <w:t>form H-bonds</w:t>
      </w:r>
      <w:r w:rsidR="00C1722D" w:rsidRPr="007365A4">
        <w:rPr>
          <w:color w:val="000000" w:themeColor="text1"/>
          <w:lang w:val="en-GB"/>
        </w:rPr>
        <w:t xml:space="preserve"> with </w:t>
      </w:r>
      <w:r w:rsidR="00634BF8" w:rsidRPr="007365A4">
        <w:rPr>
          <w:color w:val="000000" w:themeColor="text1"/>
          <w:lang w:val="en-GB"/>
        </w:rPr>
        <w:t xml:space="preserve">carbonyl </w:t>
      </w:r>
      <w:r w:rsidR="00634BF8" w:rsidRPr="007365A4">
        <w:rPr>
          <w:color w:val="000000" w:themeColor="text1"/>
          <w:lang w:val="en-GB"/>
        </w:rPr>
        <w:lastRenderedPageBreak/>
        <w:t>groups of mangiferin</w:t>
      </w:r>
      <w:r w:rsidR="0065347A">
        <w:rPr>
          <w:color w:val="000000" w:themeColor="text1"/>
          <w:lang w:val="en-GB"/>
        </w:rPr>
        <w:t>,</w:t>
      </w:r>
      <w:r w:rsidR="00AA215D" w:rsidRPr="007365A4">
        <w:rPr>
          <w:color w:val="000000" w:themeColor="text1"/>
          <w:lang w:val="en-GB"/>
        </w:rPr>
        <w:t xml:space="preserve"> and </w:t>
      </w:r>
      <w:r w:rsidR="00E84159" w:rsidRPr="007365A4">
        <w:rPr>
          <w:color w:val="000000" w:themeColor="text1"/>
          <w:lang w:val="en-GB"/>
        </w:rPr>
        <w:t xml:space="preserve">interactions </w:t>
      </w:r>
      <w:r w:rsidR="00AA215D" w:rsidRPr="007365A4">
        <w:rPr>
          <w:color w:val="000000" w:themeColor="text1"/>
          <w:lang w:val="en-GB"/>
        </w:rPr>
        <w:t xml:space="preserve">π-stacking can also </w:t>
      </w:r>
      <w:r w:rsidR="005C1099" w:rsidRPr="007365A4">
        <w:rPr>
          <w:color w:val="000000" w:themeColor="text1"/>
          <w:lang w:val="en-GB"/>
        </w:rPr>
        <w:t>arise</w:t>
      </w:r>
      <w:r w:rsidR="00AA215D" w:rsidRPr="007365A4">
        <w:rPr>
          <w:color w:val="000000" w:themeColor="text1"/>
          <w:lang w:val="en-GB"/>
        </w:rPr>
        <w:t xml:space="preserve"> between the aromatic rings</w:t>
      </w:r>
      <w:r w:rsidR="00E84159" w:rsidRPr="007365A4">
        <w:rPr>
          <w:color w:val="000000" w:themeColor="text1"/>
          <w:lang w:val="en-GB"/>
        </w:rPr>
        <w:t xml:space="preserve"> </w:t>
      </w:r>
      <w:r w:rsidR="005E21D6" w:rsidRPr="007365A4">
        <w:rPr>
          <w:color w:val="000000" w:themeColor="text1"/>
          <w:lang w:val="en-GB"/>
        </w:rPr>
        <w:t xml:space="preserve">of polyphenols </w:t>
      </w:r>
      <w:r w:rsidR="00AA215D" w:rsidRPr="007365A4">
        <w:rPr>
          <w:color w:val="000000" w:themeColor="text1"/>
          <w:lang w:val="en-GB"/>
        </w:rPr>
        <w:t>and TPU</w:t>
      </w:r>
      <w:r w:rsidR="00CE243A" w:rsidRPr="007365A4">
        <w:rPr>
          <w:color w:val="000000" w:themeColor="text1"/>
          <w:lang w:val="en-GB"/>
        </w:rPr>
        <w:t xml:space="preserve">, </w:t>
      </w:r>
      <w:r w:rsidR="00BA6E42" w:rsidRPr="007365A4">
        <w:rPr>
          <w:color w:val="000000" w:themeColor="text1"/>
          <w:lang w:val="en-GB"/>
        </w:rPr>
        <w:t>favoring</w:t>
      </w:r>
      <w:r w:rsidR="00CE420A" w:rsidRPr="007365A4">
        <w:rPr>
          <w:color w:val="000000" w:themeColor="text1"/>
          <w:lang w:val="en-GB"/>
        </w:rPr>
        <w:t xml:space="preserve"> the load in this polymer.</w:t>
      </w:r>
      <w:r w:rsidR="00F22089" w:rsidRPr="007365A4">
        <w:rPr>
          <w:color w:val="000000" w:themeColor="text1"/>
          <w:lang w:val="en-GB"/>
        </w:rPr>
        <w:t xml:space="preserve"> </w:t>
      </w:r>
      <w:r w:rsidR="00DF5746" w:rsidRPr="007365A4">
        <w:rPr>
          <w:color w:val="000000" w:themeColor="text1"/>
          <w:lang w:val="en-GB"/>
        </w:rPr>
        <w:t>Considering</w:t>
      </w:r>
      <w:r w:rsidR="00BB3E10" w:rsidRPr="007365A4">
        <w:rPr>
          <w:color w:val="000000" w:themeColor="text1"/>
          <w:lang w:val="en-GB"/>
        </w:rPr>
        <w:t xml:space="preserve"> the operational conditions</w:t>
      </w:r>
      <w:r w:rsidR="00F6780D" w:rsidRPr="007365A4">
        <w:rPr>
          <w:color w:val="000000" w:themeColor="text1"/>
          <w:lang w:val="en-GB"/>
        </w:rPr>
        <w:t xml:space="preserve">, the </w:t>
      </w:r>
      <w:r w:rsidR="00C85035" w:rsidRPr="007365A4">
        <w:rPr>
          <w:color w:val="000000" w:themeColor="text1"/>
          <w:lang w:val="en-GB"/>
        </w:rPr>
        <w:t xml:space="preserve">MLE impregnated </w:t>
      </w:r>
      <w:r w:rsidR="001C4CB1" w:rsidRPr="007365A4">
        <w:rPr>
          <w:color w:val="000000" w:themeColor="text1"/>
          <w:lang w:val="en-GB"/>
        </w:rPr>
        <w:t>improved when increas</w:t>
      </w:r>
      <w:r w:rsidR="007474AE" w:rsidRPr="007365A4">
        <w:rPr>
          <w:color w:val="000000" w:themeColor="text1"/>
          <w:lang w:val="en-GB"/>
        </w:rPr>
        <w:t>ing</w:t>
      </w:r>
      <w:r w:rsidR="001C4CB1" w:rsidRPr="007365A4">
        <w:rPr>
          <w:color w:val="000000" w:themeColor="text1"/>
          <w:lang w:val="en-GB"/>
        </w:rPr>
        <w:t xml:space="preserve"> pressure</w:t>
      </w:r>
      <w:r w:rsidR="00BB3E10" w:rsidRPr="007365A4">
        <w:rPr>
          <w:color w:val="000000" w:themeColor="text1"/>
          <w:lang w:val="en-GB"/>
        </w:rPr>
        <w:t xml:space="preserve"> for both polymers</w:t>
      </w:r>
      <w:r w:rsidR="00B84D30" w:rsidRPr="007365A4">
        <w:rPr>
          <w:color w:val="000000" w:themeColor="text1"/>
          <w:lang w:val="en-GB"/>
        </w:rPr>
        <w:t>, obtaining the best results at 400 bar.</w:t>
      </w:r>
      <w:r w:rsidR="002E07CA" w:rsidRPr="007365A4">
        <w:rPr>
          <w:color w:val="000000" w:themeColor="text1"/>
          <w:lang w:val="en-GB"/>
        </w:rPr>
        <w:t xml:space="preserve"> </w:t>
      </w:r>
      <w:r w:rsidR="00557AFB" w:rsidRPr="007365A4">
        <w:rPr>
          <w:color w:val="000000" w:themeColor="text1"/>
          <w:lang w:val="en-GB"/>
        </w:rPr>
        <w:t>Moreover</w:t>
      </w:r>
      <w:r w:rsidR="00C11D11" w:rsidRPr="007365A4">
        <w:rPr>
          <w:color w:val="000000" w:themeColor="text1"/>
          <w:lang w:val="en-GB"/>
        </w:rPr>
        <w:t xml:space="preserve">, </w:t>
      </w:r>
      <w:r w:rsidR="00D41766" w:rsidRPr="007365A4">
        <w:rPr>
          <w:color w:val="000000" w:themeColor="text1"/>
          <w:lang w:val="en-GB"/>
        </w:rPr>
        <w:t>Machado and coworkers (Machado et al., 2022) found a larger swelling in both polymers when pressure</w:t>
      </w:r>
      <w:r w:rsidR="00135902" w:rsidRPr="007365A4">
        <w:rPr>
          <w:color w:val="000000" w:themeColor="text1"/>
          <w:lang w:val="en-GB"/>
        </w:rPr>
        <w:t xml:space="preserve"> </w:t>
      </w:r>
      <w:r w:rsidR="00557AFB" w:rsidRPr="007365A4">
        <w:rPr>
          <w:color w:val="000000" w:themeColor="text1"/>
          <w:lang w:val="en-GB"/>
        </w:rPr>
        <w:t>increase</w:t>
      </w:r>
      <w:r w:rsidR="00135902" w:rsidRPr="007365A4">
        <w:rPr>
          <w:color w:val="000000" w:themeColor="text1"/>
          <w:lang w:val="en-GB"/>
        </w:rPr>
        <w:t>d</w:t>
      </w:r>
      <w:r w:rsidR="008B5BCE" w:rsidRPr="007365A4">
        <w:rPr>
          <w:color w:val="000000" w:themeColor="text1"/>
          <w:lang w:val="en-GB"/>
        </w:rPr>
        <w:t xml:space="preserve">, </w:t>
      </w:r>
      <w:r w:rsidR="00557AFB" w:rsidRPr="007365A4">
        <w:rPr>
          <w:color w:val="000000" w:themeColor="text1"/>
          <w:lang w:val="en-GB"/>
        </w:rPr>
        <w:t>which</w:t>
      </w:r>
      <w:r w:rsidR="00292017" w:rsidRPr="007365A4">
        <w:rPr>
          <w:color w:val="000000" w:themeColor="text1"/>
          <w:lang w:val="en-GB"/>
        </w:rPr>
        <w:t xml:space="preserve"> can </w:t>
      </w:r>
      <w:r w:rsidR="006A0F01">
        <w:rPr>
          <w:color w:val="000000" w:themeColor="text1"/>
          <w:lang w:val="en-GB"/>
        </w:rPr>
        <w:t xml:space="preserve">be </w:t>
      </w:r>
      <w:r w:rsidR="00557AFB" w:rsidRPr="007365A4">
        <w:rPr>
          <w:color w:val="000000" w:themeColor="text1"/>
          <w:lang w:val="en-GB"/>
        </w:rPr>
        <w:t>led to</w:t>
      </w:r>
      <w:r w:rsidR="00292017" w:rsidRPr="007365A4">
        <w:rPr>
          <w:color w:val="000000" w:themeColor="text1"/>
          <w:lang w:val="en-GB"/>
        </w:rPr>
        <w:t xml:space="preserve"> higher CO</w:t>
      </w:r>
      <w:r w:rsidR="00292017" w:rsidRPr="007365A4">
        <w:rPr>
          <w:color w:val="000000" w:themeColor="text1"/>
          <w:vertAlign w:val="subscript"/>
          <w:lang w:val="en-GB"/>
        </w:rPr>
        <w:t>2</w:t>
      </w:r>
      <w:r w:rsidR="00292017" w:rsidRPr="007365A4">
        <w:rPr>
          <w:color w:val="000000" w:themeColor="text1"/>
          <w:lang w:val="en-GB"/>
        </w:rPr>
        <w:t xml:space="preserve"> sorption by the polymer</w:t>
      </w:r>
      <w:r w:rsidR="002D7ADF" w:rsidRPr="007365A4">
        <w:rPr>
          <w:color w:val="000000" w:themeColor="text1"/>
          <w:lang w:val="en-GB"/>
        </w:rPr>
        <w:t>s.</w:t>
      </w:r>
      <w:r w:rsidR="00D479B2" w:rsidRPr="007365A4">
        <w:rPr>
          <w:color w:val="000000" w:themeColor="text1"/>
          <w:lang w:val="en-GB"/>
        </w:rPr>
        <w:t xml:space="preserve"> </w:t>
      </w:r>
      <w:r w:rsidR="00557AFB" w:rsidRPr="007365A4">
        <w:rPr>
          <w:color w:val="000000" w:themeColor="text1"/>
          <w:lang w:val="en-GB"/>
        </w:rPr>
        <w:t>Besides</w:t>
      </w:r>
      <w:r w:rsidR="00B962A0" w:rsidRPr="007365A4">
        <w:rPr>
          <w:color w:val="000000" w:themeColor="text1"/>
          <w:lang w:val="en-GB"/>
        </w:rPr>
        <w:t>, when increas</w:t>
      </w:r>
      <w:r w:rsidR="00557AFB" w:rsidRPr="007365A4">
        <w:rPr>
          <w:color w:val="000000" w:themeColor="text1"/>
          <w:lang w:val="en-GB"/>
        </w:rPr>
        <w:t>ing</w:t>
      </w:r>
      <w:r w:rsidR="00B962A0" w:rsidRPr="007365A4">
        <w:rPr>
          <w:color w:val="000000" w:themeColor="text1"/>
          <w:lang w:val="en-GB"/>
        </w:rPr>
        <w:t xml:space="preserve"> pressure</w:t>
      </w:r>
      <w:r w:rsidR="00557AFB" w:rsidRPr="007365A4">
        <w:rPr>
          <w:color w:val="000000" w:themeColor="text1"/>
          <w:lang w:val="en-GB"/>
        </w:rPr>
        <w:t>,</w:t>
      </w:r>
      <w:r w:rsidR="000F4191" w:rsidRPr="007365A4">
        <w:rPr>
          <w:color w:val="000000" w:themeColor="text1"/>
          <w:lang w:val="en-GB"/>
        </w:rPr>
        <w:t xml:space="preserve"> the solubility </w:t>
      </w:r>
      <w:r w:rsidR="00557AFB" w:rsidRPr="007365A4">
        <w:rPr>
          <w:color w:val="000000" w:themeColor="text1"/>
          <w:lang w:val="en-GB"/>
        </w:rPr>
        <w:t xml:space="preserve">of </w:t>
      </w:r>
      <w:r w:rsidR="00203848" w:rsidRPr="007365A4">
        <w:rPr>
          <w:color w:val="000000" w:themeColor="text1"/>
          <w:lang w:val="en-GB"/>
        </w:rPr>
        <w:t>substances</w:t>
      </w:r>
      <w:r w:rsidR="00557AFB" w:rsidRPr="007365A4">
        <w:rPr>
          <w:color w:val="000000" w:themeColor="text1"/>
          <w:lang w:val="en-GB"/>
        </w:rPr>
        <w:t xml:space="preserve"> </w:t>
      </w:r>
      <w:r w:rsidR="00924BAB" w:rsidRPr="007365A4">
        <w:rPr>
          <w:color w:val="000000" w:themeColor="text1"/>
          <w:lang w:val="en-GB"/>
        </w:rPr>
        <w:t>in supercritical CO</w:t>
      </w:r>
      <w:r w:rsidR="00924BAB" w:rsidRPr="007365A4">
        <w:rPr>
          <w:color w:val="000000" w:themeColor="text1"/>
          <w:vertAlign w:val="subscript"/>
          <w:lang w:val="en-GB"/>
        </w:rPr>
        <w:t>2</w:t>
      </w:r>
      <w:r w:rsidR="00924BAB" w:rsidRPr="007365A4">
        <w:rPr>
          <w:color w:val="000000" w:themeColor="text1"/>
          <w:lang w:val="en-GB"/>
        </w:rPr>
        <w:t xml:space="preserve"> </w:t>
      </w:r>
      <w:r w:rsidR="00557AFB" w:rsidRPr="007365A4">
        <w:rPr>
          <w:color w:val="000000" w:themeColor="text1"/>
          <w:lang w:val="en-GB"/>
        </w:rPr>
        <w:t xml:space="preserve">could </w:t>
      </w:r>
      <w:r w:rsidR="00135902" w:rsidRPr="007365A4">
        <w:rPr>
          <w:color w:val="000000" w:themeColor="text1"/>
          <w:lang w:val="en-GB"/>
        </w:rPr>
        <w:t>raises</w:t>
      </w:r>
      <w:r w:rsidR="00924BAB" w:rsidRPr="007365A4">
        <w:rPr>
          <w:color w:val="000000" w:themeColor="text1"/>
          <w:lang w:val="en-GB"/>
        </w:rPr>
        <w:t xml:space="preserve"> too</w:t>
      </w:r>
      <w:r w:rsidR="00B63A67" w:rsidRPr="007365A4">
        <w:rPr>
          <w:color w:val="000000" w:themeColor="text1"/>
          <w:lang w:val="en-GB"/>
        </w:rPr>
        <w:t xml:space="preserve"> (</w:t>
      </w:r>
      <w:r w:rsidR="00B63A67" w:rsidRPr="007365A4">
        <w:rPr>
          <w:rStyle w:val="text"/>
        </w:rPr>
        <w:t>Méndez-Santiago and Teja, 1999)</w:t>
      </w:r>
      <w:r w:rsidR="00557AFB" w:rsidRPr="007365A4">
        <w:rPr>
          <w:rStyle w:val="text"/>
        </w:rPr>
        <w:t>, which could also promote</w:t>
      </w:r>
      <w:r w:rsidR="007A6777" w:rsidRPr="007365A4">
        <w:rPr>
          <w:color w:val="000000" w:themeColor="text1"/>
          <w:lang w:val="en-GB"/>
        </w:rPr>
        <w:t xml:space="preserve"> </w:t>
      </w:r>
      <w:r w:rsidR="00557AFB" w:rsidRPr="007365A4">
        <w:rPr>
          <w:color w:val="000000" w:themeColor="text1"/>
          <w:lang w:val="en-GB"/>
        </w:rPr>
        <w:t>the MLE</w:t>
      </w:r>
      <w:r w:rsidR="00B63A67" w:rsidRPr="007365A4">
        <w:rPr>
          <w:color w:val="000000" w:themeColor="text1"/>
          <w:lang w:val="en-GB"/>
        </w:rPr>
        <w:t xml:space="preserve"> loading.</w:t>
      </w:r>
    </w:p>
    <w:p w14:paraId="77C97941" w14:textId="77777777" w:rsidR="00F50956" w:rsidRPr="007365A4" w:rsidRDefault="00F50956" w:rsidP="00520910">
      <w:pPr>
        <w:pStyle w:val="CETBodytext"/>
        <w:rPr>
          <w:color w:val="000000" w:themeColor="text1"/>
          <w:lang w:val="en-GB"/>
        </w:rPr>
      </w:pPr>
      <w:r w:rsidRPr="007365A4">
        <w:rPr>
          <w:i/>
          <w:noProof/>
          <w:lang w:val="es-ES" w:eastAsia="es-ES"/>
        </w:rPr>
        <w:drawing>
          <wp:inline distT="0" distB="0" distL="0" distR="0" wp14:anchorId="447200A8" wp14:editId="5F482CA3">
            <wp:extent cx="4945712" cy="927449"/>
            <wp:effectExtent l="0" t="0" r="7620" b="635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11">
                      <a:extLst>
                        <a:ext uri="{28A0092B-C50C-407E-A947-70E740481C1C}">
                          <a14:useLocalDpi xmlns:a14="http://schemas.microsoft.com/office/drawing/2010/main" val="0"/>
                        </a:ext>
                      </a:extLst>
                    </a:blip>
                    <a:srcRect t="15435"/>
                    <a:stretch/>
                  </pic:blipFill>
                  <pic:spPr bwMode="auto">
                    <a:xfrm>
                      <a:off x="0" y="0"/>
                      <a:ext cx="5024061" cy="942142"/>
                    </a:xfrm>
                    <a:prstGeom prst="rect">
                      <a:avLst/>
                    </a:prstGeom>
                    <a:noFill/>
                    <a:ln>
                      <a:noFill/>
                    </a:ln>
                    <a:extLst>
                      <a:ext uri="{53640926-AAD7-44D8-BBD7-CCE9431645EC}">
                        <a14:shadowObscured xmlns:a14="http://schemas.microsoft.com/office/drawing/2010/main"/>
                      </a:ext>
                    </a:extLst>
                  </pic:spPr>
                </pic:pic>
              </a:graphicData>
            </a:graphic>
          </wp:inline>
        </w:drawing>
      </w:r>
    </w:p>
    <w:p w14:paraId="073DB478" w14:textId="55FA7780" w:rsidR="00F50956" w:rsidRPr="007365A4" w:rsidRDefault="00F50956" w:rsidP="007365A4">
      <w:pPr>
        <w:pStyle w:val="CETCaption"/>
        <w:spacing w:before="0"/>
        <w:rPr>
          <w:rStyle w:val="CETCaptionCarattere"/>
          <w:i/>
        </w:rPr>
      </w:pPr>
      <w:r w:rsidRPr="007365A4">
        <w:rPr>
          <w:rStyle w:val="CETCaptionCarattere"/>
          <w:i/>
        </w:rPr>
        <w:t xml:space="preserve">Figure 2: Chemical </w:t>
      </w:r>
      <w:r w:rsidR="00BD4A76" w:rsidRPr="007365A4">
        <w:rPr>
          <w:rStyle w:val="CETCaptionCarattere"/>
          <w:i/>
        </w:rPr>
        <w:t xml:space="preserve">structure of </w:t>
      </w:r>
      <w:r w:rsidR="00CB6BA4" w:rsidRPr="007365A4">
        <w:rPr>
          <w:rStyle w:val="CETCaptionCarattere"/>
          <w:i/>
        </w:rPr>
        <w:t xml:space="preserve">(a) </w:t>
      </w:r>
      <w:r w:rsidR="00BD4A76" w:rsidRPr="007365A4">
        <w:rPr>
          <w:rStyle w:val="CETCaptionCarattere"/>
          <w:i/>
        </w:rPr>
        <w:t xml:space="preserve">mangiferin, </w:t>
      </w:r>
      <w:r w:rsidR="00CB6BA4" w:rsidRPr="007365A4">
        <w:rPr>
          <w:rStyle w:val="CETCaptionCarattere"/>
          <w:i/>
        </w:rPr>
        <w:t xml:space="preserve">(b) </w:t>
      </w:r>
      <w:r w:rsidR="00BD4A76" w:rsidRPr="007365A4">
        <w:rPr>
          <w:rStyle w:val="CETCaptionCarattere"/>
          <w:i/>
        </w:rPr>
        <w:t>polylactic acid (PLA)</w:t>
      </w:r>
      <w:r w:rsidR="006A0F01">
        <w:rPr>
          <w:rStyle w:val="CETCaptionCarattere"/>
          <w:i/>
        </w:rPr>
        <w:t>,</w:t>
      </w:r>
      <w:r w:rsidR="00CB6BA4" w:rsidRPr="007365A4">
        <w:rPr>
          <w:rStyle w:val="CETCaptionCarattere"/>
          <w:i/>
        </w:rPr>
        <w:t xml:space="preserve"> and (c) </w:t>
      </w:r>
      <w:r w:rsidR="00163BAF" w:rsidRPr="007365A4">
        <w:rPr>
          <w:rStyle w:val="CETCaptionCarattere"/>
          <w:i/>
        </w:rPr>
        <w:t>thermoplastic polyurethane (TPU)</w:t>
      </w:r>
      <w:r w:rsidRPr="007365A4">
        <w:rPr>
          <w:rStyle w:val="CETCaptionCarattere"/>
          <w:i/>
        </w:rPr>
        <w:t>.</w:t>
      </w:r>
    </w:p>
    <w:p w14:paraId="56627861" w14:textId="56A7233A" w:rsidR="00E31A87" w:rsidRPr="007365A4" w:rsidRDefault="002A4CE2" w:rsidP="00520910">
      <w:pPr>
        <w:pStyle w:val="CETBodytext"/>
        <w:rPr>
          <w:color w:val="000000" w:themeColor="text1"/>
          <w:lang w:val="en-GB"/>
        </w:rPr>
      </w:pPr>
      <w:r w:rsidRPr="007365A4">
        <w:rPr>
          <w:color w:val="000000" w:themeColor="text1"/>
          <w:lang w:val="en-GB"/>
        </w:rPr>
        <w:t xml:space="preserve">The ultimate goal of these impregnated polymers would be </w:t>
      </w:r>
      <w:r w:rsidR="00BB3E10" w:rsidRPr="007365A4">
        <w:rPr>
          <w:color w:val="000000" w:themeColor="text1"/>
          <w:lang w:val="en-GB"/>
        </w:rPr>
        <w:t xml:space="preserve">their use </w:t>
      </w:r>
      <w:r w:rsidRPr="007365A4">
        <w:rPr>
          <w:color w:val="000000" w:themeColor="text1"/>
          <w:lang w:val="en-GB"/>
        </w:rPr>
        <w:t xml:space="preserve">as implants with </w:t>
      </w:r>
      <w:r w:rsidR="00BB3E10" w:rsidRPr="007365A4">
        <w:rPr>
          <w:color w:val="000000" w:themeColor="text1"/>
          <w:lang w:val="en-GB"/>
        </w:rPr>
        <w:t xml:space="preserve">controlled release of an extract with </w:t>
      </w:r>
      <w:r w:rsidRPr="007365A4">
        <w:rPr>
          <w:color w:val="000000" w:themeColor="text1"/>
          <w:lang w:val="en-GB"/>
        </w:rPr>
        <w:t xml:space="preserve">pharmacoactive capacities, so it is very important to know how the substance of interest is released. In this case, an </w:t>
      </w:r>
      <w:r w:rsidRPr="007365A4">
        <w:rPr>
          <w:i/>
          <w:iCs/>
          <w:color w:val="000000" w:themeColor="text1"/>
          <w:lang w:val="en-GB"/>
        </w:rPr>
        <w:t>in vitro</w:t>
      </w:r>
      <w:r w:rsidRPr="007365A4">
        <w:rPr>
          <w:color w:val="000000" w:themeColor="text1"/>
          <w:lang w:val="en-GB"/>
        </w:rPr>
        <w:t xml:space="preserve"> release has been made in a saline medium and the results are shown in </w:t>
      </w:r>
      <w:r w:rsidR="008B578D" w:rsidRPr="007365A4">
        <w:rPr>
          <w:color w:val="000000" w:themeColor="text1"/>
          <w:lang w:val="en-GB"/>
        </w:rPr>
        <w:t>F</w:t>
      </w:r>
      <w:r w:rsidR="004C1276" w:rsidRPr="007365A4">
        <w:rPr>
          <w:color w:val="000000" w:themeColor="text1"/>
          <w:lang w:val="en-GB"/>
        </w:rPr>
        <w:t xml:space="preserve">igure </w:t>
      </w:r>
      <w:r w:rsidR="008B578D" w:rsidRPr="007365A4">
        <w:rPr>
          <w:color w:val="000000" w:themeColor="text1"/>
          <w:lang w:val="en-GB"/>
        </w:rPr>
        <w:t>3</w:t>
      </w:r>
      <w:r w:rsidR="004C1276" w:rsidRPr="007365A4">
        <w:rPr>
          <w:color w:val="000000" w:themeColor="text1"/>
          <w:lang w:val="en-GB"/>
        </w:rPr>
        <w:t xml:space="preserve">. </w:t>
      </w:r>
    </w:p>
    <w:p w14:paraId="07FDBE56" w14:textId="77777777" w:rsidR="004C1276" w:rsidRPr="007365A4" w:rsidRDefault="004C1276" w:rsidP="00520910">
      <w:pPr>
        <w:pStyle w:val="CETBodytext"/>
        <w:rPr>
          <w:color w:val="000000" w:themeColor="text1"/>
          <w:lang w:val="en-GB"/>
        </w:rPr>
      </w:pPr>
    </w:p>
    <w:p w14:paraId="11398DC0" w14:textId="69F14AE2" w:rsidR="00E31A87" w:rsidRPr="007365A4" w:rsidRDefault="00E31A87" w:rsidP="00520910">
      <w:pPr>
        <w:pStyle w:val="CETBodytext"/>
        <w:rPr>
          <w:color w:val="000000" w:themeColor="text1"/>
          <w:lang w:val="en-GB"/>
        </w:rPr>
      </w:pPr>
      <w:r w:rsidRPr="007365A4">
        <w:rPr>
          <w:noProof/>
          <w:color w:val="000000" w:themeColor="text1"/>
          <w:lang w:val="es-ES" w:eastAsia="es-ES"/>
        </w:rPr>
        <w:drawing>
          <wp:inline distT="0" distB="0" distL="0" distR="0" wp14:anchorId="1973381C" wp14:editId="51D8B67D">
            <wp:extent cx="2652507" cy="1619250"/>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2">
                      <a:extLst>
                        <a:ext uri="{28A0092B-C50C-407E-A947-70E740481C1C}">
                          <a14:useLocalDpi xmlns:a14="http://schemas.microsoft.com/office/drawing/2010/main" val="0"/>
                        </a:ext>
                      </a:extLst>
                    </a:blip>
                    <a:srcRect l="3112" r="24227"/>
                    <a:stretch/>
                  </pic:blipFill>
                  <pic:spPr bwMode="auto">
                    <a:xfrm>
                      <a:off x="0" y="0"/>
                      <a:ext cx="2653513" cy="1619864"/>
                    </a:xfrm>
                    <a:prstGeom prst="rect">
                      <a:avLst/>
                    </a:prstGeom>
                    <a:noFill/>
                    <a:ln>
                      <a:noFill/>
                    </a:ln>
                    <a:extLst>
                      <a:ext uri="{53640926-AAD7-44D8-BBD7-CCE9431645EC}">
                        <a14:shadowObscured xmlns:a14="http://schemas.microsoft.com/office/drawing/2010/main"/>
                      </a:ext>
                    </a:extLst>
                  </pic:spPr>
                </pic:pic>
              </a:graphicData>
            </a:graphic>
          </wp:inline>
        </w:drawing>
      </w:r>
      <w:r w:rsidR="000972EA" w:rsidRPr="007365A4">
        <w:rPr>
          <w:noProof/>
          <w:color w:val="000000" w:themeColor="text1"/>
          <w:lang w:val="es-ES" w:eastAsia="es-ES"/>
        </w:rPr>
        <w:drawing>
          <wp:inline distT="0" distB="0" distL="0" distR="0" wp14:anchorId="68D2BD4E" wp14:editId="77B5472E">
            <wp:extent cx="2766060" cy="1619885"/>
            <wp:effectExtent l="0" t="0" r="0" b="0"/>
            <wp:docPr id="20" name="Imagen 20" descr="Gráfico, Gráfico de dispers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n 20" descr="Gráfico, Gráfico de dispersión&#10;&#10;Descripción generada automáticamente"/>
                    <pic:cNvPicPr>
                      <a:picLocks noChangeAspect="1" noChangeArrowheads="1"/>
                    </pic:cNvPicPr>
                  </pic:nvPicPr>
                  <pic:blipFill rotWithShape="1">
                    <a:blip r:embed="rId13">
                      <a:extLst>
                        <a:ext uri="{28A0092B-C50C-407E-A947-70E740481C1C}">
                          <a14:useLocalDpi xmlns:a14="http://schemas.microsoft.com/office/drawing/2010/main" val="0"/>
                        </a:ext>
                      </a:extLst>
                    </a:blip>
                    <a:srcRect r="24252"/>
                    <a:stretch/>
                  </pic:blipFill>
                  <pic:spPr bwMode="auto">
                    <a:xfrm>
                      <a:off x="0" y="0"/>
                      <a:ext cx="2766060" cy="1619885"/>
                    </a:xfrm>
                    <a:prstGeom prst="rect">
                      <a:avLst/>
                    </a:prstGeom>
                    <a:noFill/>
                    <a:ln>
                      <a:noFill/>
                    </a:ln>
                    <a:extLst>
                      <a:ext uri="{53640926-AAD7-44D8-BBD7-CCE9431645EC}">
                        <a14:shadowObscured xmlns:a14="http://schemas.microsoft.com/office/drawing/2010/main"/>
                      </a:ext>
                    </a:extLst>
                  </pic:spPr>
                </pic:pic>
              </a:graphicData>
            </a:graphic>
          </wp:inline>
        </w:drawing>
      </w:r>
    </w:p>
    <w:p w14:paraId="599EB39D" w14:textId="52069246" w:rsidR="00AB5546" w:rsidRPr="007365A4" w:rsidRDefault="0077449F" w:rsidP="00AE6D0B">
      <w:pPr>
        <w:pStyle w:val="CETBodytext"/>
        <w:ind w:left="7100" w:hanging="7100"/>
        <w:jc w:val="center"/>
        <w:rPr>
          <w:color w:val="000000" w:themeColor="text1"/>
          <w:lang w:val="en-GB"/>
        </w:rPr>
      </w:pPr>
      <w:r w:rsidRPr="007365A4">
        <w:rPr>
          <w:noProof/>
          <w:color w:val="000000" w:themeColor="text1"/>
          <w:lang w:val="es-ES" w:eastAsia="es-ES"/>
        </w:rPr>
        <w:drawing>
          <wp:inline distT="0" distB="0" distL="0" distR="0" wp14:anchorId="44E1FE5E" wp14:editId="30AE24FB">
            <wp:extent cx="4045442" cy="209176"/>
            <wp:effectExtent l="0" t="0" r="0" b="635"/>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4">
                      <a:extLst>
                        <a:ext uri="{28A0092B-C50C-407E-A947-70E740481C1C}">
                          <a14:useLocalDpi xmlns:a14="http://schemas.microsoft.com/office/drawing/2010/main" val="0"/>
                        </a:ext>
                      </a:extLst>
                    </a:blip>
                    <a:srcRect t="85633" b="2710"/>
                    <a:stretch/>
                  </pic:blipFill>
                  <pic:spPr bwMode="auto">
                    <a:xfrm>
                      <a:off x="0" y="0"/>
                      <a:ext cx="4354001" cy="225131"/>
                    </a:xfrm>
                    <a:prstGeom prst="rect">
                      <a:avLst/>
                    </a:prstGeom>
                    <a:noFill/>
                    <a:ln>
                      <a:noFill/>
                    </a:ln>
                    <a:extLst>
                      <a:ext uri="{53640926-AAD7-44D8-BBD7-CCE9431645EC}">
                        <a14:shadowObscured xmlns:a14="http://schemas.microsoft.com/office/drawing/2010/main"/>
                      </a:ext>
                    </a:extLst>
                  </pic:spPr>
                </pic:pic>
              </a:graphicData>
            </a:graphic>
          </wp:inline>
        </w:drawing>
      </w:r>
    </w:p>
    <w:p w14:paraId="029CA358" w14:textId="0B076806" w:rsidR="003D48FA" w:rsidRPr="007365A4" w:rsidRDefault="003D48FA" w:rsidP="007365A4">
      <w:pPr>
        <w:pStyle w:val="CETCaption"/>
        <w:spacing w:before="0"/>
        <w:rPr>
          <w:rStyle w:val="CETCaptionCarattere"/>
          <w:i/>
        </w:rPr>
      </w:pPr>
      <w:r w:rsidRPr="007365A4">
        <w:rPr>
          <w:rStyle w:val="CETCaptionCarattere"/>
          <w:i/>
        </w:rPr>
        <w:t xml:space="preserve">Figure </w:t>
      </w:r>
      <w:r w:rsidR="008B578D" w:rsidRPr="007365A4">
        <w:rPr>
          <w:rStyle w:val="CETCaptionCarattere"/>
          <w:i/>
        </w:rPr>
        <w:t>3</w:t>
      </w:r>
      <w:r w:rsidRPr="007365A4">
        <w:rPr>
          <w:rStyle w:val="CETCaptionCarattere"/>
          <w:i/>
        </w:rPr>
        <w:t>: MLE release</w:t>
      </w:r>
      <w:r w:rsidR="00E73561" w:rsidRPr="007365A4">
        <w:rPr>
          <w:rStyle w:val="CETCaptionCarattere"/>
          <w:i/>
        </w:rPr>
        <w:t xml:space="preserve">d </w:t>
      </w:r>
      <w:r w:rsidR="006A5721" w:rsidRPr="007365A4">
        <w:rPr>
          <w:rStyle w:val="CETCaptionCarattere"/>
          <w:i/>
        </w:rPr>
        <w:t xml:space="preserve">into a saline medium </w:t>
      </w:r>
      <w:r w:rsidR="00E73561" w:rsidRPr="007365A4">
        <w:rPr>
          <w:rStyle w:val="CETCaptionCarattere"/>
          <w:i/>
        </w:rPr>
        <w:t>from impregnated polymer at different conditions</w:t>
      </w:r>
      <w:r w:rsidRPr="007365A4">
        <w:rPr>
          <w:rStyle w:val="CETCaptionCarattere"/>
          <w:i/>
        </w:rPr>
        <w:t>.</w:t>
      </w:r>
    </w:p>
    <w:p w14:paraId="07699696" w14:textId="228E2E2B" w:rsidR="00BB3E10" w:rsidRPr="007365A4" w:rsidRDefault="00093062" w:rsidP="00453E24">
      <w:pPr>
        <w:pStyle w:val="CETBodytext"/>
      </w:pPr>
      <w:r w:rsidRPr="007365A4">
        <w:t>It can be observed that the higher the loading, the greater the release of MLE. Regarding pressure conditions, i</w:t>
      </w:r>
      <w:r w:rsidR="00B52832" w:rsidRPr="007365A4">
        <w:t xml:space="preserve">t was </w:t>
      </w:r>
      <w:r w:rsidR="00E41966" w:rsidRPr="007365A4">
        <w:t>o</w:t>
      </w:r>
      <w:r w:rsidR="00B52832" w:rsidRPr="007365A4">
        <w:t xml:space="preserve">bserved that the polymers with </w:t>
      </w:r>
      <w:r w:rsidR="005477B9" w:rsidRPr="007365A4">
        <w:t>higher</w:t>
      </w:r>
      <w:r w:rsidR="00B52832" w:rsidRPr="007365A4">
        <w:t xml:space="preserve"> </w:t>
      </w:r>
      <w:r w:rsidR="005477B9" w:rsidRPr="007365A4">
        <w:t>loading (upper pressures)</w:t>
      </w:r>
      <w:r w:rsidR="00B52832" w:rsidRPr="007365A4">
        <w:t xml:space="preserve"> release a greater amount of extract into the medium, </w:t>
      </w:r>
      <w:r w:rsidR="00BB3E10" w:rsidRPr="007365A4">
        <w:t>at</w:t>
      </w:r>
      <w:r w:rsidR="00B52832" w:rsidRPr="007365A4">
        <w:t xml:space="preserve"> </w:t>
      </w:r>
      <w:r w:rsidR="00BB3E10" w:rsidRPr="007365A4">
        <w:t>each studied</w:t>
      </w:r>
      <w:r w:rsidR="00B52832" w:rsidRPr="007365A4">
        <w:t xml:space="preserve"> time. </w:t>
      </w:r>
      <w:r w:rsidR="00ED4E28" w:rsidRPr="007365A4">
        <w:t>Possibly</w:t>
      </w:r>
      <w:r w:rsidR="00B52832" w:rsidRPr="007365A4">
        <w:t xml:space="preserve">, </w:t>
      </w:r>
      <w:r w:rsidR="005D0081" w:rsidRPr="007365A4">
        <w:t>higher impregnation pressures drove</w:t>
      </w:r>
      <w:r w:rsidR="004E2D86" w:rsidRPr="007365A4">
        <w:t xml:space="preserve"> a larger swelling</w:t>
      </w:r>
      <w:r w:rsidR="0013760E" w:rsidRPr="007365A4">
        <w:t xml:space="preserve"> and</w:t>
      </w:r>
      <w:r w:rsidR="006E0F4C">
        <w:t xml:space="preserve"> </w:t>
      </w:r>
      <w:r w:rsidR="00F0119E" w:rsidRPr="007365A4">
        <w:t xml:space="preserve">a greater porosity </w:t>
      </w:r>
      <w:r w:rsidR="00B52832" w:rsidRPr="007365A4">
        <w:t>by the polymer</w:t>
      </w:r>
      <w:r w:rsidR="00F0119E" w:rsidRPr="007365A4">
        <w:t xml:space="preserve"> (Machado et al, 2022)</w:t>
      </w:r>
      <w:r w:rsidR="00B52832" w:rsidRPr="007365A4">
        <w:t xml:space="preserve">, </w:t>
      </w:r>
      <w:r w:rsidR="00F0119E" w:rsidRPr="007365A4">
        <w:t xml:space="preserve">so </w:t>
      </w:r>
      <w:r w:rsidR="00B52832" w:rsidRPr="007365A4">
        <w:t>the contact surface with the medium would also be greater, allowing easier solubilization of the extract.</w:t>
      </w:r>
      <w:r w:rsidR="009E2267" w:rsidRPr="007365A4">
        <w:t xml:space="preserve"> </w:t>
      </w:r>
    </w:p>
    <w:p w14:paraId="670DB8C3" w14:textId="67E08167" w:rsidR="00093062" w:rsidRPr="007365A4" w:rsidRDefault="00093062" w:rsidP="00453E24">
      <w:pPr>
        <w:pStyle w:val="CETBodytext"/>
      </w:pPr>
      <w:r w:rsidRPr="007365A4">
        <w:t>Regarding the kind of polymer</w:t>
      </w:r>
      <w:r w:rsidR="0001741F" w:rsidRPr="007365A4">
        <w:t xml:space="preserve">, </w:t>
      </w:r>
      <w:r w:rsidRPr="007365A4">
        <w:t xml:space="preserve">in the case of PLA (Figure 3a), a rapid initial MLE release was produced, stabilizing 336 h after starting, reaching a maximum concentration that remained constant until the end of the assay. On the contrary, </w:t>
      </w:r>
      <w:r w:rsidR="00F87B09" w:rsidRPr="007365A4">
        <w:t xml:space="preserve">the MLE </w:t>
      </w:r>
      <w:r w:rsidR="00BB3E10" w:rsidRPr="007365A4">
        <w:t>release</w:t>
      </w:r>
      <w:r w:rsidR="00047F6B" w:rsidRPr="007365A4">
        <w:t xml:space="preserve"> </w:t>
      </w:r>
      <w:r w:rsidR="000163A2" w:rsidRPr="007365A4">
        <w:t>from the TPU</w:t>
      </w:r>
      <w:r w:rsidR="000B0B93" w:rsidRPr="007365A4">
        <w:t xml:space="preserve"> see</w:t>
      </w:r>
      <w:r w:rsidR="007307F0" w:rsidRPr="007365A4">
        <w:t>med more progressive</w:t>
      </w:r>
      <w:r w:rsidR="00FA2C32" w:rsidRPr="007365A4">
        <w:t xml:space="preserve"> (Figure 3b)</w:t>
      </w:r>
      <w:r w:rsidR="007E7BCB" w:rsidRPr="007365A4">
        <w:t>.</w:t>
      </w:r>
      <w:r w:rsidR="00077CEC" w:rsidRPr="007365A4">
        <w:t xml:space="preserve"> There was also an initial fast release followed by a slower release, </w:t>
      </w:r>
      <w:r w:rsidR="001D71B8" w:rsidRPr="007365A4">
        <w:t>but this release increase</w:t>
      </w:r>
      <w:r w:rsidR="000F11A1" w:rsidRPr="007365A4">
        <w:t>d</w:t>
      </w:r>
      <w:r w:rsidR="001D71B8" w:rsidRPr="007365A4">
        <w:t xml:space="preserve"> progressively</w:t>
      </w:r>
      <w:r w:rsidR="001E28F8" w:rsidRPr="007365A4">
        <w:t>.</w:t>
      </w:r>
      <w:r w:rsidR="001925A4" w:rsidRPr="007365A4">
        <w:t xml:space="preserve"> </w:t>
      </w:r>
    </w:p>
    <w:p w14:paraId="3F0E8755" w14:textId="48EA6EB6" w:rsidR="00DF3878" w:rsidRPr="007365A4" w:rsidRDefault="00093062" w:rsidP="00093062">
      <w:pPr>
        <w:pStyle w:val="CETBodytext"/>
      </w:pPr>
      <w:r w:rsidRPr="007365A4">
        <w:t xml:space="preserve">In the case of PLA, the maximum MLE released corresponds </w:t>
      </w:r>
      <w:r w:rsidR="002926EF" w:rsidRPr="007365A4">
        <w:t xml:space="preserve">to </w:t>
      </w:r>
      <w:r w:rsidRPr="007365A4">
        <w:t>about a third of the total impregnated MLE</w:t>
      </w:r>
      <w:r w:rsidR="002926EF" w:rsidRPr="007365A4">
        <w:t>, which indicates</w:t>
      </w:r>
      <w:r w:rsidRPr="007365A4">
        <w:t xml:space="preserve"> </w:t>
      </w:r>
      <w:r w:rsidR="002926EF" w:rsidRPr="007365A4">
        <w:t>a remaining</w:t>
      </w:r>
      <w:r w:rsidRPr="007365A4">
        <w:t xml:space="preserve"> MLE inside the polymer</w:t>
      </w:r>
      <w:r w:rsidR="002926EF" w:rsidRPr="007365A4">
        <w:t xml:space="preserve">. </w:t>
      </w:r>
      <w:r w:rsidR="00AD5AF2" w:rsidRPr="007365A4">
        <w:t xml:space="preserve">On the other hand, although the quantity of MLE released from TPU was higher than that from PLA, only 6-8 % of the total impregnated MLE migrated to the simulated medium. </w:t>
      </w:r>
      <w:r w:rsidR="002926EF" w:rsidRPr="007365A4">
        <w:t>In this sense,</w:t>
      </w:r>
      <w:r w:rsidRPr="007365A4">
        <w:t xml:space="preserve"> it would be necessary to increase the </w:t>
      </w:r>
      <w:r w:rsidR="00301F8A" w:rsidRPr="007365A4">
        <w:t>test</w:t>
      </w:r>
      <w:r w:rsidRPr="007365A4">
        <w:t xml:space="preserve"> time </w:t>
      </w:r>
      <w:r w:rsidR="00AF29ED">
        <w:t>to</w:t>
      </w:r>
      <w:r w:rsidR="002926EF" w:rsidRPr="007365A4">
        <w:t xml:space="preserve"> approximate a release model that considers the whole </w:t>
      </w:r>
      <w:r w:rsidR="006D792A" w:rsidRPr="007365A4">
        <w:t>delivery</w:t>
      </w:r>
      <w:r w:rsidR="002926EF" w:rsidRPr="007365A4">
        <w:t xml:space="preserve"> of the extract</w:t>
      </w:r>
      <w:r w:rsidRPr="007365A4">
        <w:t xml:space="preserve">. These were therefore the initial stages of release, and it is necessary to reach stages in which the substances that have become impregnated in the innermost structures of the polymer can be released into the environment, while the degradation of the </w:t>
      </w:r>
      <w:r w:rsidR="00AD5AF2" w:rsidRPr="007365A4">
        <w:t>polymers</w:t>
      </w:r>
      <w:r w:rsidRPr="007365A4">
        <w:t xml:space="preserve"> occurs</w:t>
      </w:r>
      <w:r w:rsidR="00B4398E" w:rsidRPr="007365A4">
        <w:t xml:space="preserve"> (Verano-Naranjo et al, 2021)</w:t>
      </w:r>
      <w:r w:rsidRPr="007365A4">
        <w:t>.</w:t>
      </w:r>
      <w:r w:rsidR="00BB5D9C" w:rsidRPr="007365A4">
        <w:t xml:space="preserve"> </w:t>
      </w:r>
      <w:r w:rsidR="00974251" w:rsidRPr="007365A4">
        <w:t>Another annotation according to these p</w:t>
      </w:r>
      <w:r w:rsidR="00FE3EE2" w:rsidRPr="007365A4">
        <w:t xml:space="preserve">ercentages of total impregnated MLE </w:t>
      </w:r>
      <w:r w:rsidR="005B5A98" w:rsidRPr="007365A4">
        <w:t>solved in the s</w:t>
      </w:r>
      <w:r w:rsidR="00F13F2D" w:rsidRPr="007365A4">
        <w:t>aline medium</w:t>
      </w:r>
      <w:r w:rsidR="00FE3EE2" w:rsidRPr="007365A4">
        <w:t xml:space="preserve"> is that</w:t>
      </w:r>
      <w:r w:rsidR="00B83288" w:rsidRPr="007365A4">
        <w:t xml:space="preserve"> the </w:t>
      </w:r>
      <w:r w:rsidR="003D14C7">
        <w:t>release</w:t>
      </w:r>
      <w:r w:rsidR="00B83288" w:rsidRPr="007365A4">
        <w:t xml:space="preserve"> from the TPU is more slowly than from the PLA, maybe because the degradation of the polymer is also slower</w:t>
      </w:r>
      <w:r w:rsidR="00DF3878" w:rsidRPr="007365A4">
        <w:t>.</w:t>
      </w:r>
    </w:p>
    <w:p w14:paraId="3A64025C" w14:textId="5F8AF7C3" w:rsidR="00333C4E" w:rsidRPr="007365A4" w:rsidRDefault="00FA35C3" w:rsidP="00453E24">
      <w:pPr>
        <w:pStyle w:val="CETBodytext"/>
      </w:pPr>
      <w:r w:rsidRPr="007365A4">
        <w:t xml:space="preserve">Figure </w:t>
      </w:r>
      <w:r w:rsidR="00FA2C32" w:rsidRPr="007365A4">
        <w:t>4</w:t>
      </w:r>
      <w:r w:rsidRPr="007365A4">
        <w:t xml:space="preserve"> shows the antioxidant activity </w:t>
      </w:r>
      <w:r w:rsidR="002926EF" w:rsidRPr="007365A4">
        <w:t xml:space="preserve">of </w:t>
      </w:r>
      <w:r w:rsidRPr="007365A4">
        <w:t>the releas</w:t>
      </w:r>
      <w:r w:rsidR="00C00FE4" w:rsidRPr="007365A4">
        <w:t>e</w:t>
      </w:r>
      <w:r w:rsidRPr="007365A4">
        <w:t xml:space="preserve"> </w:t>
      </w:r>
      <w:r w:rsidR="002926EF" w:rsidRPr="007365A4">
        <w:t xml:space="preserve">medium at two points of the releasing experiment. </w:t>
      </w:r>
      <w:r w:rsidR="005470D7" w:rsidRPr="007365A4">
        <w:t>First of all, it should be noted that, in all cases, at higher impregnation pressure the antioxidant activity was</w:t>
      </w:r>
      <w:r w:rsidR="009B6A24">
        <w:t xml:space="preserve"> </w:t>
      </w:r>
      <w:r w:rsidR="005470D7" w:rsidRPr="007365A4">
        <w:t>greater.</w:t>
      </w:r>
      <w:r w:rsidR="006D7995" w:rsidRPr="007365A4">
        <w:t xml:space="preserve"> </w:t>
      </w:r>
      <w:r w:rsidR="005C7576" w:rsidRPr="007365A4">
        <w:t xml:space="preserve">As </w:t>
      </w:r>
      <w:r w:rsidR="009B6A24">
        <w:t>discussed</w:t>
      </w:r>
      <w:r w:rsidR="005C7576" w:rsidRPr="007365A4">
        <w:t xml:space="preserve"> above</w:t>
      </w:r>
      <w:r w:rsidR="007F5929" w:rsidRPr="007365A4">
        <w:t xml:space="preserve">, </w:t>
      </w:r>
      <w:r w:rsidR="005C7576" w:rsidRPr="007365A4">
        <w:t xml:space="preserve">the amount of impregnated MLE </w:t>
      </w:r>
      <w:r w:rsidR="007F5929" w:rsidRPr="007365A4">
        <w:t>increased with pressure</w:t>
      </w:r>
      <w:r w:rsidR="005C7576" w:rsidRPr="007365A4">
        <w:t>, likewise the amount of extract</w:t>
      </w:r>
      <w:r w:rsidR="007A02EE" w:rsidRPr="007365A4">
        <w:t xml:space="preserve"> with antioxidants compounds</w:t>
      </w:r>
      <w:r w:rsidR="005C7576" w:rsidRPr="007365A4">
        <w:t xml:space="preserve"> released into the medium</w:t>
      </w:r>
      <w:r w:rsidR="007A02EE" w:rsidRPr="007365A4">
        <w:t xml:space="preserve">. </w:t>
      </w:r>
    </w:p>
    <w:p w14:paraId="6F8051C1" w14:textId="6899764C" w:rsidR="00333C4E" w:rsidRPr="007365A4" w:rsidRDefault="00E86995" w:rsidP="00453E24">
      <w:pPr>
        <w:pStyle w:val="CETBodytext"/>
      </w:pPr>
      <w:r w:rsidRPr="007365A4">
        <w:lastRenderedPageBreak/>
        <w:t>Comparing both times for each of the polymers, it was observed that the longer the test lasted, the greater the amount of extract released and therefore the antioxidant capacity also increased.</w:t>
      </w:r>
      <w:r w:rsidR="001F76F9" w:rsidRPr="007365A4">
        <w:t xml:space="preserve"> </w:t>
      </w:r>
      <w:r w:rsidR="00794AD8" w:rsidRPr="007365A4">
        <w:t xml:space="preserve">This increase </w:t>
      </w:r>
      <w:r w:rsidR="007365A4">
        <w:t>was</w:t>
      </w:r>
      <w:r w:rsidR="00794AD8" w:rsidRPr="007365A4">
        <w:t xml:space="preserve"> not very pronounced </w:t>
      </w:r>
      <w:r w:rsidR="00AA2977">
        <w:t xml:space="preserve">and the differences </w:t>
      </w:r>
      <w:r w:rsidR="00F71A09">
        <w:t xml:space="preserve">between </w:t>
      </w:r>
      <w:r w:rsidR="0065347A">
        <w:t xml:space="preserve">the </w:t>
      </w:r>
      <w:r w:rsidR="00F71A09">
        <w:t>same experiments reali</w:t>
      </w:r>
      <w:r w:rsidR="00FD31EE">
        <w:t>zed</w:t>
      </w:r>
      <w:r w:rsidR="0065347A">
        <w:t xml:space="preserve"> </w:t>
      </w:r>
      <w:r w:rsidR="00FD31EE">
        <w:t xml:space="preserve">at </w:t>
      </w:r>
      <w:r w:rsidR="00E5210E">
        <w:t xml:space="preserve">the </w:t>
      </w:r>
      <w:r w:rsidR="00FD31EE">
        <w:t>same condition</w:t>
      </w:r>
      <w:r w:rsidR="00E5210E">
        <w:t>s</w:t>
      </w:r>
      <w:r w:rsidR="00FD31EE">
        <w:t xml:space="preserve"> but at different times, in </w:t>
      </w:r>
      <w:r w:rsidR="001345F1">
        <w:t>al</w:t>
      </w:r>
      <w:r w:rsidR="00FD31EE">
        <w:t xml:space="preserve">l cases, </w:t>
      </w:r>
      <w:r w:rsidR="001345F1">
        <w:t>are not significa</w:t>
      </w:r>
      <w:r w:rsidR="00E5210E">
        <w:t>nt</w:t>
      </w:r>
      <w:r w:rsidR="001345F1">
        <w:t xml:space="preserve">. </w:t>
      </w:r>
      <w:r w:rsidR="00BE6053">
        <w:t>This may be because</w:t>
      </w:r>
      <w:r w:rsidR="00544E45">
        <w:t>,</w:t>
      </w:r>
      <w:r w:rsidR="00BE6053">
        <w:t xml:space="preserve"> a</w:t>
      </w:r>
      <w:r w:rsidR="00794AD8" w:rsidRPr="007365A4">
        <w:t xml:space="preserve">t the times when this experiment </w:t>
      </w:r>
      <w:r w:rsidR="007365A4">
        <w:t>wa</w:t>
      </w:r>
      <w:r w:rsidR="00794AD8" w:rsidRPr="007365A4">
        <w:t xml:space="preserve">s carried out, the release </w:t>
      </w:r>
      <w:r w:rsidR="007365A4">
        <w:t>wa</w:t>
      </w:r>
      <w:r w:rsidR="00794AD8" w:rsidRPr="007365A4">
        <w:t>s in the slow stage</w:t>
      </w:r>
      <w:r w:rsidR="00902EEF" w:rsidRPr="007365A4">
        <w:t xml:space="preserve"> (see figures 3a and 3b)</w:t>
      </w:r>
      <w:r w:rsidR="00794AD8" w:rsidRPr="007365A4">
        <w:t>, with little difference in the concentrations of the extract released.</w:t>
      </w:r>
      <w:r w:rsidR="004449C4">
        <w:t xml:space="preserve"> </w:t>
      </w:r>
    </w:p>
    <w:p w14:paraId="0E76E92B" w14:textId="081F1F21" w:rsidR="003F6570" w:rsidRDefault="001F76F9" w:rsidP="00453E24">
      <w:pPr>
        <w:pStyle w:val="CETBodytext"/>
      </w:pPr>
      <w:r w:rsidRPr="007365A4">
        <w:t>Finally, comparing both polymers, in all cases the antioxidant capacity of TPU was greater than that of PLA</w:t>
      </w:r>
      <w:r w:rsidR="00845B28" w:rsidRPr="007365A4">
        <w:t xml:space="preserve">. </w:t>
      </w:r>
      <w:r w:rsidR="00D95F76" w:rsidRPr="007365A4">
        <w:t xml:space="preserve">The impregnation </w:t>
      </w:r>
      <w:r w:rsidR="00547704" w:rsidRPr="007365A4">
        <w:t>loads</w:t>
      </w:r>
      <w:r w:rsidR="00D95F76" w:rsidRPr="007365A4">
        <w:t xml:space="preserve"> </w:t>
      </w:r>
      <w:r w:rsidR="00547704" w:rsidRPr="007365A4">
        <w:t>for</w:t>
      </w:r>
      <w:r w:rsidR="00D95F76" w:rsidRPr="007365A4">
        <w:t xml:space="preserve"> TPU w</w:t>
      </w:r>
      <w:r w:rsidR="00547704" w:rsidRPr="007365A4">
        <w:t>ere</w:t>
      </w:r>
      <w:r w:rsidR="00D95F76" w:rsidRPr="007365A4">
        <w:t xml:space="preserve"> much higher than that </w:t>
      </w:r>
      <w:r w:rsidR="00547704" w:rsidRPr="007365A4">
        <w:t>for</w:t>
      </w:r>
      <w:r w:rsidR="00D95F76" w:rsidRPr="007365A4">
        <w:t xml:space="preserve"> PLA and </w:t>
      </w:r>
      <w:r w:rsidR="0009582F" w:rsidRPr="007365A4">
        <w:t xml:space="preserve">then </w:t>
      </w:r>
      <w:r w:rsidR="00D95F76" w:rsidRPr="007365A4">
        <w:t xml:space="preserve">the amount </w:t>
      </w:r>
      <w:r w:rsidR="0009582F" w:rsidRPr="007365A4">
        <w:t xml:space="preserve">of MLE </w:t>
      </w:r>
      <w:r w:rsidR="00D95F76" w:rsidRPr="007365A4">
        <w:t xml:space="preserve">released into the medium </w:t>
      </w:r>
      <w:r w:rsidR="0009582F" w:rsidRPr="007365A4">
        <w:t xml:space="preserve">from TPU </w:t>
      </w:r>
      <w:r w:rsidR="00D95F76" w:rsidRPr="007365A4">
        <w:t xml:space="preserve">was also </w:t>
      </w:r>
      <w:r w:rsidR="00C4259E" w:rsidRPr="007365A4">
        <w:t>larger</w:t>
      </w:r>
      <w:r w:rsidR="0009582F" w:rsidRPr="007365A4">
        <w:t xml:space="preserve"> than from PLA</w:t>
      </w:r>
      <w:r w:rsidR="00D95F76" w:rsidRPr="007365A4">
        <w:t>, however</w:t>
      </w:r>
      <w:r w:rsidR="00751533">
        <w:t>,</w:t>
      </w:r>
      <w:r w:rsidR="00D95F76" w:rsidRPr="007365A4">
        <w:t xml:space="preserve"> its antioxidant capacity </w:t>
      </w:r>
      <w:r w:rsidR="007365A4">
        <w:t>wa</w:t>
      </w:r>
      <w:r w:rsidR="00D95F76" w:rsidRPr="007365A4">
        <w:t>s not so different.</w:t>
      </w:r>
      <w:r w:rsidR="00C4259E" w:rsidRPr="007365A4">
        <w:t xml:space="preserve"> </w:t>
      </w:r>
      <w:r w:rsidR="000D275F" w:rsidRPr="007365A4">
        <w:t>The release of the compounds that form the MLE is conditioned by their affinity with the release medium. Thus, it is to be assumed that the most soluble compounds will be released</w:t>
      </w:r>
      <w:r w:rsidR="00EC6A14" w:rsidRPr="007365A4">
        <w:t xml:space="preserve"> firs</w:t>
      </w:r>
      <w:r w:rsidR="00687344" w:rsidRPr="007365A4">
        <w:t>t</w:t>
      </w:r>
      <w:r w:rsidR="000D275F" w:rsidRPr="007365A4">
        <w:t xml:space="preserve">, leaving the compounds with the highest affinity with the polymer more retained. As explained above, phenolic compounds, which are those with the highest antioxidant capacity, may have a greater affinity with TPU than with PLA. Thus, although the amount </w:t>
      </w:r>
      <w:r w:rsidR="006626F9" w:rsidRPr="007365A4">
        <w:t>of MLE</w:t>
      </w:r>
      <w:r w:rsidR="000D275F" w:rsidRPr="007365A4">
        <w:t xml:space="preserve"> released from TPU </w:t>
      </w:r>
      <w:r w:rsidR="006626F9" w:rsidRPr="007365A4">
        <w:t>wa</w:t>
      </w:r>
      <w:r w:rsidR="000D275F" w:rsidRPr="007365A4">
        <w:t xml:space="preserve">s greater than from PLA, perhaps </w:t>
      </w:r>
      <w:r w:rsidR="0034277B" w:rsidRPr="007365A4">
        <w:t>the</w:t>
      </w:r>
      <w:r w:rsidR="000D275F" w:rsidRPr="007365A4">
        <w:t xml:space="preserve"> compounds released </w:t>
      </w:r>
      <w:r w:rsidR="0034277B" w:rsidRPr="007365A4">
        <w:t>were</w:t>
      </w:r>
      <w:r w:rsidR="000D275F" w:rsidRPr="007365A4">
        <w:t xml:space="preserve"> not those with the greatest antioxidant capacity.</w:t>
      </w:r>
      <w:r w:rsidR="00232F49" w:rsidRPr="007365A4">
        <w:t xml:space="preserve"> </w:t>
      </w:r>
    </w:p>
    <w:p w14:paraId="7F27327A" w14:textId="77777777" w:rsidR="002B136A" w:rsidRPr="007365A4" w:rsidRDefault="002B136A" w:rsidP="00453E24">
      <w:pPr>
        <w:pStyle w:val="CETBodytext"/>
      </w:pPr>
    </w:p>
    <w:p w14:paraId="2DF1A5E3" w14:textId="242DEE11" w:rsidR="003F6D69" w:rsidRPr="007365A4" w:rsidRDefault="00B30B7A" w:rsidP="008A20BF">
      <w:pPr>
        <w:pStyle w:val="CETBodytext"/>
        <w:tabs>
          <w:tab w:val="clear" w:pos="7100"/>
        </w:tabs>
        <w:jc w:val="left"/>
      </w:pPr>
      <w:r>
        <w:rPr>
          <w:noProof/>
          <w:lang w:val="es-ES" w:eastAsia="es-ES"/>
        </w:rPr>
        <w:drawing>
          <wp:inline distT="0" distB="0" distL="0" distR="0" wp14:anchorId="3D3E5011" wp14:editId="4A1B74EF">
            <wp:extent cx="2771775" cy="1872000"/>
            <wp:effectExtent l="0" t="0" r="9525" b="13970"/>
            <wp:docPr id="4" name="Gráfico 4">
              <a:extLst xmlns:a="http://schemas.openxmlformats.org/drawingml/2006/main">
                <a:ext uri="{FF2B5EF4-FFF2-40B4-BE49-F238E27FC236}">
                  <a16:creationId xmlns:a16="http://schemas.microsoft.com/office/drawing/2014/main" id="{D58253D1-7A26-7B62-3ECA-8C263ACC45B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00701D18">
        <w:rPr>
          <w:noProof/>
          <w:lang w:val="es-ES" w:eastAsia="es-ES"/>
        </w:rPr>
        <w:drawing>
          <wp:inline distT="0" distB="0" distL="0" distR="0" wp14:anchorId="6358ADEC" wp14:editId="03241932">
            <wp:extent cx="2771775" cy="1872000"/>
            <wp:effectExtent l="0" t="0" r="9525" b="13970"/>
            <wp:docPr id="3" name="Gráfico 3">
              <a:extLst xmlns:a="http://schemas.openxmlformats.org/drawingml/2006/main">
                <a:ext uri="{FF2B5EF4-FFF2-40B4-BE49-F238E27FC236}">
                  <a16:creationId xmlns:a16="http://schemas.microsoft.com/office/drawing/2014/main" id="{E32AA01F-9875-4FEC-8FBF-2B5C75C110D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01E174E8" w14:textId="77777777" w:rsidR="004956CF" w:rsidRDefault="004956CF" w:rsidP="004956CF">
      <w:pPr>
        <w:pStyle w:val="CETCaption"/>
        <w:spacing w:before="0" w:after="0"/>
        <w:rPr>
          <w:rStyle w:val="CETCaptionCarattere"/>
        </w:rPr>
      </w:pPr>
    </w:p>
    <w:p w14:paraId="75CF1542" w14:textId="6F83EC4A" w:rsidR="00DA6B57" w:rsidRPr="007365A4" w:rsidRDefault="00DA6B57" w:rsidP="001F2408">
      <w:pPr>
        <w:pStyle w:val="CETCaption"/>
        <w:spacing w:before="0"/>
        <w:rPr>
          <w:rStyle w:val="CETCaptionCarattere"/>
          <w:i/>
        </w:rPr>
      </w:pPr>
      <w:r w:rsidRPr="007365A4">
        <w:rPr>
          <w:rStyle w:val="CETCaptionCarattere"/>
          <w:i/>
        </w:rPr>
        <w:t xml:space="preserve">Figure </w:t>
      </w:r>
      <w:r w:rsidR="008B578D" w:rsidRPr="007365A4">
        <w:rPr>
          <w:rStyle w:val="CETCaptionCarattere"/>
          <w:i/>
        </w:rPr>
        <w:t>4</w:t>
      </w:r>
      <w:r w:rsidRPr="007365A4">
        <w:rPr>
          <w:rStyle w:val="CETCaptionCarattere"/>
          <w:i/>
        </w:rPr>
        <w:t xml:space="preserve">: </w:t>
      </w:r>
      <w:r w:rsidR="00097F7B" w:rsidRPr="007365A4">
        <w:rPr>
          <w:rStyle w:val="CETCaptionCarattere"/>
          <w:i/>
        </w:rPr>
        <w:t xml:space="preserve">Antioxidant activity of </w:t>
      </w:r>
      <w:r w:rsidR="008222A8" w:rsidRPr="007365A4">
        <w:rPr>
          <w:rStyle w:val="CETCaptionCarattere"/>
          <w:i/>
        </w:rPr>
        <w:t xml:space="preserve">the </w:t>
      </w:r>
      <w:r w:rsidRPr="007365A4">
        <w:rPr>
          <w:rStyle w:val="CETCaptionCarattere"/>
          <w:i/>
        </w:rPr>
        <w:t xml:space="preserve">MLE released </w:t>
      </w:r>
      <w:r w:rsidR="008222A8" w:rsidRPr="007365A4">
        <w:rPr>
          <w:rStyle w:val="CETCaptionCarattere"/>
          <w:i/>
        </w:rPr>
        <w:t>from PLA</w:t>
      </w:r>
      <w:r w:rsidR="00605E68">
        <w:rPr>
          <w:rStyle w:val="CETCaptionCarattere"/>
          <w:i/>
        </w:rPr>
        <w:t xml:space="preserve"> (A)</w:t>
      </w:r>
      <w:r w:rsidR="008222A8" w:rsidRPr="007365A4">
        <w:rPr>
          <w:rStyle w:val="CETCaptionCarattere"/>
          <w:i/>
        </w:rPr>
        <w:t xml:space="preserve"> and TPU</w:t>
      </w:r>
      <w:r w:rsidR="00605E68">
        <w:rPr>
          <w:rStyle w:val="CETCaptionCarattere"/>
          <w:i/>
        </w:rPr>
        <w:t xml:space="preserve"> (B)</w:t>
      </w:r>
      <w:r w:rsidR="008222A8" w:rsidRPr="007365A4">
        <w:rPr>
          <w:rStyle w:val="CETCaptionCarattere"/>
          <w:i/>
        </w:rPr>
        <w:t xml:space="preserve"> up to 240 and 4</w:t>
      </w:r>
      <w:r w:rsidR="002B6C4E">
        <w:rPr>
          <w:rStyle w:val="CETCaptionCarattere"/>
          <w:i/>
        </w:rPr>
        <w:t>80</w:t>
      </w:r>
      <w:r w:rsidR="008222A8" w:rsidRPr="007365A4">
        <w:rPr>
          <w:rStyle w:val="CETCaptionCarattere"/>
          <w:i/>
        </w:rPr>
        <w:t xml:space="preserve"> hour</w:t>
      </w:r>
      <w:r w:rsidR="00480841" w:rsidRPr="007365A4">
        <w:rPr>
          <w:rStyle w:val="CETCaptionCarattere"/>
          <w:i/>
        </w:rPr>
        <w:t>s</w:t>
      </w:r>
      <w:r w:rsidRPr="007365A4">
        <w:rPr>
          <w:rStyle w:val="CETCaptionCarattere"/>
          <w:i/>
        </w:rPr>
        <w:t>.</w:t>
      </w:r>
      <w:r w:rsidR="00C2577F">
        <w:rPr>
          <w:rStyle w:val="CETCaptionCarattere"/>
          <w:i/>
        </w:rPr>
        <w:t xml:space="preserve"> Different letters </w:t>
      </w:r>
      <w:r w:rsidR="00E10F24" w:rsidRPr="00E10F24">
        <w:rPr>
          <w:rStyle w:val="CETCaptionCarattere"/>
          <w:i/>
        </w:rPr>
        <w:t xml:space="preserve">at the top of the bars </w:t>
      </w:r>
      <w:r w:rsidR="00C2577F">
        <w:rPr>
          <w:rStyle w:val="CETCaptionCarattere"/>
          <w:i/>
        </w:rPr>
        <w:t xml:space="preserve">(a,b,c,d) </w:t>
      </w:r>
      <w:r w:rsidR="00211D1A">
        <w:rPr>
          <w:rStyle w:val="CETCaptionCarattere"/>
          <w:i/>
        </w:rPr>
        <w:t xml:space="preserve">means </w:t>
      </w:r>
      <w:r w:rsidR="009B08DD">
        <w:rPr>
          <w:rStyle w:val="CETCaptionCarattere"/>
          <w:i/>
        </w:rPr>
        <w:t xml:space="preserve">significative </w:t>
      </w:r>
      <w:r w:rsidR="00E10F24" w:rsidRPr="00E10F24">
        <w:rPr>
          <w:rStyle w:val="CETCaptionCarattere"/>
          <w:i/>
        </w:rPr>
        <w:t>differences between the groups</w:t>
      </w:r>
      <w:r w:rsidR="00D419FD">
        <w:rPr>
          <w:rStyle w:val="CETCaptionCarattere"/>
          <w:i/>
        </w:rPr>
        <w:t xml:space="preserve"> with a </w:t>
      </w:r>
      <w:r w:rsidR="00313C9A">
        <w:rPr>
          <w:rStyle w:val="CETCaptionCarattere"/>
          <w:i/>
        </w:rPr>
        <w:t>95% confidence level</w:t>
      </w:r>
      <w:r w:rsidR="009B08DD">
        <w:rPr>
          <w:rStyle w:val="CETCaptionCarattere"/>
          <w:i/>
        </w:rPr>
        <w:t xml:space="preserve"> (</w:t>
      </w:r>
      <w:r w:rsidR="009B08DD" w:rsidRPr="001F2408">
        <w:rPr>
          <w:rStyle w:val="CETCaptionCarattere"/>
          <w:i/>
        </w:rPr>
        <w:t>p</w:t>
      </w:r>
      <w:r w:rsidR="00B741FE" w:rsidRPr="001F2408">
        <w:rPr>
          <w:rStyle w:val="CETCaptionCarattere"/>
          <w:i/>
        </w:rPr>
        <w:t>&lt;</w:t>
      </w:r>
      <w:r w:rsidR="009B08DD" w:rsidRPr="001F2408">
        <w:rPr>
          <w:rStyle w:val="CETCaptionCarattere"/>
          <w:i/>
        </w:rPr>
        <w:t>0</w:t>
      </w:r>
      <w:r w:rsidR="009B08DD">
        <w:rPr>
          <w:rStyle w:val="CETCaptionCarattere"/>
          <w:i/>
        </w:rPr>
        <w:t>.05)</w:t>
      </w:r>
      <w:r w:rsidR="00E10F24" w:rsidRPr="00E10F24">
        <w:rPr>
          <w:rStyle w:val="CETCaptionCarattere"/>
          <w:i/>
        </w:rPr>
        <w:t>.</w:t>
      </w:r>
    </w:p>
    <w:p w14:paraId="68D26B83" w14:textId="77777777" w:rsidR="00600535" w:rsidRPr="007365A4" w:rsidRDefault="00600535" w:rsidP="00600535">
      <w:pPr>
        <w:pStyle w:val="CETHeading1"/>
        <w:rPr>
          <w:lang w:val="en-GB"/>
        </w:rPr>
      </w:pPr>
      <w:r w:rsidRPr="007365A4">
        <w:rPr>
          <w:lang w:val="en-GB"/>
        </w:rPr>
        <w:t>Conclusions</w:t>
      </w:r>
    </w:p>
    <w:p w14:paraId="6B2F98BB" w14:textId="54AD8B30" w:rsidR="00933AB9" w:rsidRPr="007365A4" w:rsidRDefault="00933AB9" w:rsidP="00933AB9">
      <w:pPr>
        <w:pStyle w:val="CETBodytext"/>
        <w:rPr>
          <w:lang w:val="en-GB"/>
        </w:rPr>
      </w:pPr>
      <w:r w:rsidRPr="007365A4">
        <w:rPr>
          <w:lang w:val="en-GB"/>
        </w:rPr>
        <w:t xml:space="preserve">The analysis of the results obtained in this work revealed the potential of PLA and TPU polymers and </w:t>
      </w:r>
      <w:r w:rsidR="00FE5FA4" w:rsidRPr="007365A4">
        <w:rPr>
          <w:lang w:val="en-GB"/>
        </w:rPr>
        <w:t xml:space="preserve">the </w:t>
      </w:r>
      <w:r w:rsidRPr="007365A4">
        <w:rPr>
          <w:lang w:val="en-GB"/>
        </w:rPr>
        <w:t>impregnation techniques with supercritical fluids in the biomedical field.</w:t>
      </w:r>
      <w:r w:rsidR="00762107" w:rsidRPr="007365A4">
        <w:rPr>
          <w:lang w:val="en-GB"/>
        </w:rPr>
        <w:t xml:space="preserve"> On the other hand, t</w:t>
      </w:r>
      <w:r w:rsidRPr="007365A4">
        <w:rPr>
          <w:lang w:val="en-GB"/>
        </w:rPr>
        <w:t>he antioxidant characteristics of the extract demonstrated the relevance of raw materials that are discarded from other activities, such as mango leaves.</w:t>
      </w:r>
    </w:p>
    <w:p w14:paraId="1C031C45" w14:textId="1D03E21B" w:rsidR="00933AB9" w:rsidRPr="007365A4" w:rsidRDefault="00877A8C" w:rsidP="00933AB9">
      <w:pPr>
        <w:pStyle w:val="CETBodytext"/>
        <w:rPr>
          <w:lang w:val="en-GB"/>
        </w:rPr>
      </w:pPr>
      <w:r w:rsidRPr="007365A4">
        <w:rPr>
          <w:lang w:val="en-GB"/>
        </w:rPr>
        <w:t xml:space="preserve">A greater number of studies on lactic acids make PLA the most widely used polymer today in biomedical applications. However, the differences in the physicochemical properties among polymers make </w:t>
      </w:r>
      <w:r w:rsidR="00A87BFB" w:rsidRPr="00A87BFB">
        <w:rPr>
          <w:lang w:val="en-GB"/>
        </w:rPr>
        <w:t>the study of others for biomedical applications interesting</w:t>
      </w:r>
      <w:r w:rsidRPr="007365A4">
        <w:rPr>
          <w:lang w:val="en-GB"/>
        </w:rPr>
        <w:t xml:space="preserve">. In fact, in this study, </w:t>
      </w:r>
      <w:r w:rsidR="00933AB9" w:rsidRPr="007365A4">
        <w:rPr>
          <w:lang w:val="en-GB"/>
        </w:rPr>
        <w:t xml:space="preserve">TPU polymers have been shown to have a higher load capacity than PLA polymers. </w:t>
      </w:r>
      <w:r w:rsidR="00F33510">
        <w:rPr>
          <w:lang w:val="en-GB"/>
        </w:rPr>
        <w:t>Concerning</w:t>
      </w:r>
      <w:r w:rsidR="00933AB9" w:rsidRPr="007365A4">
        <w:rPr>
          <w:lang w:val="en-GB"/>
        </w:rPr>
        <w:t xml:space="preserve"> the impregnation conditions, it was verified that the highest loads are obtained when using </w:t>
      </w:r>
      <w:r w:rsidR="00092CB8" w:rsidRPr="007365A4">
        <w:rPr>
          <w:lang w:val="en-GB"/>
        </w:rPr>
        <w:t>higher</w:t>
      </w:r>
      <w:r w:rsidR="00933AB9" w:rsidRPr="007365A4">
        <w:rPr>
          <w:lang w:val="en-GB"/>
        </w:rPr>
        <w:t xml:space="preserve"> pressure</w:t>
      </w:r>
      <w:r w:rsidR="00092CB8" w:rsidRPr="007365A4">
        <w:rPr>
          <w:lang w:val="en-GB"/>
        </w:rPr>
        <w:t>s</w:t>
      </w:r>
      <w:r w:rsidR="00933AB9" w:rsidRPr="007365A4">
        <w:rPr>
          <w:lang w:val="en-GB"/>
        </w:rPr>
        <w:t xml:space="preserve"> in the impregnation for both polymers.</w:t>
      </w:r>
    </w:p>
    <w:p w14:paraId="3FF4DB90" w14:textId="505A66B0" w:rsidR="003951C5" w:rsidRPr="007365A4" w:rsidRDefault="00933AB9" w:rsidP="00933AB9">
      <w:pPr>
        <w:pStyle w:val="CETBodytext"/>
        <w:rPr>
          <w:lang w:val="en-GB"/>
        </w:rPr>
      </w:pPr>
      <w:r w:rsidRPr="007365A4">
        <w:rPr>
          <w:lang w:val="en-GB"/>
        </w:rPr>
        <w:t>Considering the release of the active compound from the polymers, a faster initial release was observed in</w:t>
      </w:r>
      <w:r w:rsidR="00E96851" w:rsidRPr="007365A4">
        <w:rPr>
          <w:lang w:val="en-GB"/>
        </w:rPr>
        <w:t xml:space="preserve"> both polymers</w:t>
      </w:r>
      <w:r w:rsidR="00F20B94" w:rsidRPr="007365A4">
        <w:rPr>
          <w:lang w:val="en-GB"/>
        </w:rPr>
        <w:t>, followed by</w:t>
      </w:r>
      <w:r w:rsidR="00D10EEB" w:rsidRPr="007365A4">
        <w:rPr>
          <w:lang w:val="en-GB"/>
        </w:rPr>
        <w:t xml:space="preserve"> a slower rele</w:t>
      </w:r>
      <w:r w:rsidR="001D2CF4" w:rsidRPr="007365A4">
        <w:rPr>
          <w:lang w:val="en-GB"/>
        </w:rPr>
        <w:t>ase</w:t>
      </w:r>
      <w:r w:rsidR="00A3079F" w:rsidRPr="007365A4">
        <w:rPr>
          <w:lang w:val="en-GB"/>
        </w:rPr>
        <w:t>.</w:t>
      </w:r>
      <w:r w:rsidR="001D6804" w:rsidRPr="007365A4">
        <w:rPr>
          <w:lang w:val="en-GB"/>
        </w:rPr>
        <w:t xml:space="preserve"> </w:t>
      </w:r>
      <w:r w:rsidR="00C00464" w:rsidRPr="007365A4">
        <w:rPr>
          <w:lang w:val="en-GB"/>
        </w:rPr>
        <w:t xml:space="preserve">In terms of </w:t>
      </w:r>
      <w:r w:rsidR="00F33510">
        <w:rPr>
          <w:lang w:val="en-GB"/>
        </w:rPr>
        <w:t xml:space="preserve">the </w:t>
      </w:r>
      <w:r w:rsidR="00C00464" w:rsidRPr="007365A4">
        <w:rPr>
          <w:lang w:val="en-GB"/>
        </w:rPr>
        <w:t>percentage released from its load, in PLA it was 30% compared to 8% in TPU.</w:t>
      </w:r>
      <w:r w:rsidR="00C00464" w:rsidRPr="007365A4" w:rsidDel="00C00464">
        <w:rPr>
          <w:lang w:val="en-GB"/>
        </w:rPr>
        <w:t xml:space="preserve"> </w:t>
      </w:r>
    </w:p>
    <w:p w14:paraId="5D01C06C" w14:textId="77095B88" w:rsidR="00644956" w:rsidRPr="007365A4" w:rsidRDefault="003951C5" w:rsidP="00644956">
      <w:pPr>
        <w:pStyle w:val="CETBodytext"/>
        <w:rPr>
          <w:lang w:val="en-GB"/>
        </w:rPr>
      </w:pPr>
      <w:r w:rsidRPr="007365A4">
        <w:rPr>
          <w:lang w:val="en-GB"/>
        </w:rPr>
        <w:t>Finally, with the bioactive tests it was shown that the impregnated polymers have antioxidant capacity, increasing this as the impregnated compounds are released.</w:t>
      </w:r>
    </w:p>
    <w:p w14:paraId="0C60FC9E" w14:textId="3D095FD3" w:rsidR="00D17F89" w:rsidRDefault="00843FE4" w:rsidP="007365A4">
      <w:pPr>
        <w:pStyle w:val="CETBodytext"/>
      </w:pPr>
      <w:r w:rsidRPr="007365A4">
        <w:t>Although the future of these materials seems promising, more studies are needed to evaluate the release mechanism of antioxidant compounds from these polymers. As well as mechanical tests that ensure the necessary quality of the polymers after supercritical treatment for their application in the manufacture of biomedical materials. In addition, assays are also required to ensure cell viability and in vivo performance of these mango leaf extract-impregnated polymers.</w:t>
      </w:r>
    </w:p>
    <w:p w14:paraId="2E3357AC" w14:textId="77777777" w:rsidR="00160715" w:rsidRDefault="00160715" w:rsidP="007365A4">
      <w:pPr>
        <w:pStyle w:val="CETBodytext"/>
      </w:pPr>
    </w:p>
    <w:p w14:paraId="47BCAFBC" w14:textId="77777777" w:rsidR="00160715" w:rsidRDefault="00160715" w:rsidP="007365A4">
      <w:pPr>
        <w:pStyle w:val="CETBodytext"/>
      </w:pPr>
    </w:p>
    <w:p w14:paraId="3F4472C3" w14:textId="77777777" w:rsidR="00160715" w:rsidRPr="007365A4" w:rsidRDefault="00160715" w:rsidP="007365A4">
      <w:pPr>
        <w:pStyle w:val="CETBodytext"/>
      </w:pPr>
    </w:p>
    <w:p w14:paraId="459D05E6" w14:textId="77777777" w:rsidR="00600535" w:rsidRPr="007365A4" w:rsidRDefault="00600535" w:rsidP="00600535">
      <w:pPr>
        <w:pStyle w:val="CETAcknowledgementstitle"/>
      </w:pPr>
      <w:r w:rsidRPr="007365A4">
        <w:lastRenderedPageBreak/>
        <w:t>Acknowledgments</w:t>
      </w:r>
    </w:p>
    <w:p w14:paraId="33F8138F" w14:textId="53CF7FA0" w:rsidR="00600535" w:rsidRPr="007365A4" w:rsidRDefault="002F13C7" w:rsidP="00600535">
      <w:pPr>
        <w:pStyle w:val="CETBodytext"/>
        <w:rPr>
          <w:lang w:val="en-GB"/>
        </w:rPr>
      </w:pPr>
      <w:r w:rsidRPr="007365A4">
        <w:rPr>
          <w:lang w:val="en-GB"/>
        </w:rPr>
        <w:t xml:space="preserve">This publication is part of the R+D+i project reference PID2020-116229RB-I00, funded by MCIN/AEI /10.13039/501100011033/ and “ERDF A way of making Europe”. </w:t>
      </w:r>
      <w:r w:rsidR="00160715">
        <w:rPr>
          <w:lang w:val="en-GB"/>
        </w:rPr>
        <w:t xml:space="preserve"> </w:t>
      </w:r>
      <w:r w:rsidR="00232F72" w:rsidRPr="007365A4">
        <w:rPr>
          <w:lang w:val="en-GB"/>
        </w:rPr>
        <w:t xml:space="preserve">Some of the infrastructures used in carrying out this research have </w:t>
      </w:r>
      <w:r w:rsidR="00F42A9C" w:rsidRPr="007365A4">
        <w:rPr>
          <w:lang w:val="en-GB"/>
        </w:rPr>
        <w:t>been funded</w:t>
      </w:r>
      <w:r w:rsidR="00232F72" w:rsidRPr="007365A4">
        <w:rPr>
          <w:lang w:val="en-GB"/>
        </w:rPr>
        <w:t xml:space="preserve"> </w:t>
      </w:r>
      <w:r w:rsidR="00AE00FE" w:rsidRPr="007365A4">
        <w:rPr>
          <w:lang w:val="en-GB"/>
        </w:rPr>
        <w:t xml:space="preserve">by MCIN/AEI /10.13039/501100011033/, project reference </w:t>
      </w:r>
      <w:r w:rsidR="00860817" w:rsidRPr="007365A4">
        <w:rPr>
          <w:lang w:val="en-GB"/>
        </w:rPr>
        <w:t>EQC2019-005988-P</w:t>
      </w:r>
      <w:r w:rsidR="00B3045A" w:rsidRPr="007365A4">
        <w:rPr>
          <w:lang w:val="en-GB"/>
        </w:rPr>
        <w:t>.</w:t>
      </w:r>
      <w:r w:rsidR="00160715">
        <w:rPr>
          <w:lang w:val="en-GB"/>
        </w:rPr>
        <w:t xml:space="preserve"> </w:t>
      </w:r>
      <w:r w:rsidR="00811DD3" w:rsidRPr="007365A4">
        <w:rPr>
          <w:lang w:val="en-GB"/>
        </w:rPr>
        <w:t>Thanks to the Institute of Subtropical and Mediterranean Horticulture “La Mayora” for providing the mango leaves.</w:t>
      </w:r>
    </w:p>
    <w:p w14:paraId="4F1327F8" w14:textId="77777777" w:rsidR="00600535" w:rsidRPr="007365A4" w:rsidRDefault="00600535" w:rsidP="00600535">
      <w:pPr>
        <w:pStyle w:val="CETReference"/>
      </w:pPr>
      <w:r w:rsidRPr="007365A4">
        <w:t>References</w:t>
      </w:r>
    </w:p>
    <w:p w14:paraId="352FF6B3" w14:textId="77777777" w:rsidR="007365A4" w:rsidRPr="007365A4" w:rsidRDefault="007365A4" w:rsidP="00A76694">
      <w:pPr>
        <w:pStyle w:val="CETReferencetext"/>
      </w:pPr>
      <w:r w:rsidRPr="007365A4">
        <w:t>Du, S., Liu, H., Lei, T., Xie, X., Wang, H., He, X., Tong, R., Wang, Y. 2018. Mangiferin: An effective therapeutic agent against several disorders (Review). Molecular Medicine Reports, 18(6), 4775-4786.</w:t>
      </w:r>
    </w:p>
    <w:p w14:paraId="0C1801BB" w14:textId="77777777" w:rsidR="007365A4" w:rsidRPr="007365A4" w:rsidRDefault="007365A4" w:rsidP="007365A4">
      <w:pPr>
        <w:pStyle w:val="CETReferencetext"/>
        <w:rPr>
          <w:lang w:val="en-US"/>
        </w:rPr>
      </w:pPr>
      <w:r w:rsidRPr="00F427AD">
        <w:rPr>
          <w:lang w:val="es-ES"/>
        </w:rPr>
        <w:t xml:space="preserve">Fernández-Ponce, M.T., Casas, L., Mantell, C., Martínez de la Ossa, E.J. 2013. </w:t>
      </w:r>
      <w:r w:rsidRPr="007365A4">
        <w:rPr>
          <w:lang w:val="en-US"/>
        </w:rPr>
        <w:t>Potential Use of Mango Leaves Extracts Obtained by High Pressure Technologies in Cosmetic, Pharmaceutics and Food Industries. Chemical Engineering Transactions, 32, 1147-1152.</w:t>
      </w:r>
    </w:p>
    <w:p w14:paraId="1007081A" w14:textId="77777777" w:rsidR="007365A4" w:rsidRPr="007365A4" w:rsidRDefault="007365A4" w:rsidP="00A76694">
      <w:pPr>
        <w:pStyle w:val="CETReferencetext"/>
      </w:pPr>
      <w:r w:rsidRPr="007365A4">
        <w:rPr>
          <w:lang w:val="en-US"/>
        </w:rPr>
        <w:t xml:space="preserve">Ferreira, S., Araujo, T., Souza, N., Rodrigues, L., Lisboa, H. M., Pasquali, M., Trindade, G., Rocha, A. P., 2019, </w:t>
      </w:r>
      <w:r w:rsidRPr="007365A4">
        <w:t>Physicochemical, morphological and antioxidant properties of spray-dried mango kernel starch. Journal of Agriculture and Food Research, 1, 100012.</w:t>
      </w:r>
    </w:p>
    <w:p w14:paraId="78CE8484" w14:textId="77777777" w:rsidR="007365A4" w:rsidRPr="007365A4" w:rsidRDefault="007365A4" w:rsidP="00F75806">
      <w:pPr>
        <w:pStyle w:val="CETReferencetext"/>
      </w:pPr>
      <w:r w:rsidRPr="007365A4">
        <w:rPr>
          <w:lang w:val="en-US"/>
        </w:rPr>
        <w:t xml:space="preserve">Itoh, K., Matsukawa, T., Okamoto, M., Minami, K., Tomohiro, N., Shimizu K., Kajiyama, S., Endo, Y., Matsuda, H., Shigeoka, S. 2020. </w:t>
      </w:r>
      <w:r w:rsidRPr="007365A4">
        <w:t>In vitro Antioxidant Activity of Mangifera indica Leaf Extracts. Journal of Plant Studies, 9, 2, 39-45.</w:t>
      </w:r>
    </w:p>
    <w:p w14:paraId="25BEA933" w14:textId="77777777" w:rsidR="007365A4" w:rsidRPr="007365A4" w:rsidRDefault="007365A4" w:rsidP="00A76694">
      <w:pPr>
        <w:pStyle w:val="CETReferencetext"/>
      </w:pPr>
      <w:r w:rsidRPr="007365A4">
        <w:t>Kumar, S., Hussain, A., Sansi, M. S., Iram, D., Priyanka, Vats, A., 2022, Antioxidative agents from medicinal plants. Chapter In: Research Anthology on Recent Advancements in Ethnopharmacology and Nutraceuticals, IGI Global, 179-194.</w:t>
      </w:r>
    </w:p>
    <w:p w14:paraId="1E6DDD13" w14:textId="77777777" w:rsidR="007365A4" w:rsidRPr="007365A4" w:rsidRDefault="007365A4" w:rsidP="002C4A68">
      <w:pPr>
        <w:pStyle w:val="CETReferencetext"/>
      </w:pPr>
      <w:r w:rsidRPr="007365A4">
        <w:rPr>
          <w:lang w:val="it-IT"/>
        </w:rPr>
        <w:t xml:space="preserve">Liparoti, S., Franco, P., Pantani, R., De Marco, I., 2022. </w:t>
      </w:r>
      <w:r w:rsidRPr="007365A4">
        <w:t>Supercritical CO</w:t>
      </w:r>
      <w:r w:rsidRPr="007365A4">
        <w:rPr>
          <w:vertAlign w:val="subscript"/>
        </w:rPr>
        <w:t>2</w:t>
      </w:r>
      <w:r w:rsidRPr="007365A4">
        <w:t xml:space="preserve"> impregnation of caffeine in biopolymer films to produce anti-cellulite devices. The Journal of Supercritical Fluids, 179, 105411.</w:t>
      </w:r>
    </w:p>
    <w:p w14:paraId="77C6E9AE" w14:textId="77777777" w:rsidR="007365A4" w:rsidRPr="008C1E32" w:rsidRDefault="007365A4" w:rsidP="00D00542">
      <w:pPr>
        <w:pStyle w:val="CETReferencetext"/>
        <w:rPr>
          <w:lang w:val="pt-PT"/>
        </w:rPr>
      </w:pPr>
      <w:r w:rsidRPr="007365A4">
        <w:t xml:space="preserve">Liu, S., Qin, S., He, M., Zhou, M.,, Qin, Q., Wang, H. 2020. Current applications of poly(lactic acid) composites in tissue engineering and drug delivery. </w:t>
      </w:r>
      <w:r w:rsidRPr="008C1E32">
        <w:rPr>
          <w:lang w:val="pt-PT"/>
        </w:rPr>
        <w:t>Composites Part B: Engineering, 199, 108238.</w:t>
      </w:r>
    </w:p>
    <w:p w14:paraId="24FFB8DD" w14:textId="77777777" w:rsidR="007365A4" w:rsidRPr="008C1E32" w:rsidRDefault="007365A4" w:rsidP="00AC79C6">
      <w:pPr>
        <w:pStyle w:val="CETReferencetext"/>
        <w:rPr>
          <w:lang w:val="en-US"/>
        </w:rPr>
      </w:pPr>
      <w:r w:rsidRPr="007365A4">
        <w:rPr>
          <w:lang w:val="pt-PT"/>
        </w:rPr>
        <w:t xml:space="preserve">Machado, N. D., Cejudo-Bastante, C., Goñi, M. L., Gañán, N. A., Casas-Cardoso, L., Mantell-Serrano, C. 2022. </w:t>
      </w:r>
      <w:r w:rsidRPr="007365A4">
        <w:t xml:space="preserve">Screening of the Supercritical Impregnation of Olea europaea Leaves Extract into Filaments of Thermoplastic Polyurethane (TPU) and Polylactic Acid (PLA) Intended for Biomedical Applications. </w:t>
      </w:r>
      <w:r w:rsidRPr="008C1E32">
        <w:rPr>
          <w:lang w:val="en-US"/>
        </w:rPr>
        <w:t xml:space="preserve">Antioxidants, 11(6), 1170. </w:t>
      </w:r>
    </w:p>
    <w:p w14:paraId="0163CB7C" w14:textId="77777777" w:rsidR="007365A4" w:rsidRPr="007365A4" w:rsidRDefault="007365A4" w:rsidP="00A76694">
      <w:pPr>
        <w:pStyle w:val="CETReferencetext"/>
      </w:pPr>
      <w:r w:rsidRPr="008C1E32">
        <w:rPr>
          <w:lang w:val="en-US"/>
        </w:rPr>
        <w:t xml:space="preserve">Mei, S., Ma, H., Chen, X. 2021. </w:t>
      </w:r>
      <w:r w:rsidRPr="007365A4">
        <w:t>Anticancer and anti-inflammatory properties of mangiferin: A review of its molecular mechanisms. Food and Chemical Toxicology: An International Journal Published for the British Industrial Biological Research Association, 149, 111997.</w:t>
      </w:r>
    </w:p>
    <w:p w14:paraId="6C81F550" w14:textId="77777777" w:rsidR="007365A4" w:rsidRPr="008C1E32" w:rsidRDefault="007365A4" w:rsidP="00C95C65">
      <w:pPr>
        <w:pStyle w:val="CETReferencetext"/>
        <w:rPr>
          <w:lang w:val="it-IT"/>
        </w:rPr>
      </w:pPr>
      <w:r w:rsidRPr="008C1E32">
        <w:rPr>
          <w:rStyle w:val="text"/>
          <w:lang w:val="pt-PT"/>
        </w:rPr>
        <w:t>Méndez-Santiago, J.</w:t>
      </w:r>
      <w:r w:rsidRPr="008C1E32">
        <w:rPr>
          <w:rFonts w:cs="Arial"/>
          <w:color w:val="2E2E2E"/>
          <w:lang w:val="pt-PT"/>
        </w:rPr>
        <w:t>, </w:t>
      </w:r>
      <w:r w:rsidRPr="008C1E32">
        <w:rPr>
          <w:rStyle w:val="text"/>
          <w:lang w:val="pt-PT"/>
        </w:rPr>
        <w:t xml:space="preserve">Teja, A.S. 1999. </w:t>
      </w:r>
      <w:r w:rsidRPr="007365A4">
        <w:rPr>
          <w:rStyle w:val="text"/>
          <w:lang w:val="en-US"/>
        </w:rPr>
        <w:t xml:space="preserve">The solubility of solids in supercritical fluids. </w:t>
      </w:r>
      <w:r w:rsidRPr="008C1E32">
        <w:rPr>
          <w:rStyle w:val="text"/>
          <w:lang w:val="it-IT"/>
        </w:rPr>
        <w:t>Fluid Phase Equilibria, 158–160, 501-510</w:t>
      </w:r>
    </w:p>
    <w:p w14:paraId="50ACF0C7" w14:textId="77777777" w:rsidR="007365A4" w:rsidRPr="007365A4" w:rsidRDefault="007365A4" w:rsidP="000F028E">
      <w:pPr>
        <w:pStyle w:val="CETReferencetext"/>
        <w:rPr>
          <w:lang w:val="es-ES"/>
        </w:rPr>
      </w:pPr>
      <w:r w:rsidRPr="007365A4">
        <w:rPr>
          <w:lang w:val="it-IT"/>
        </w:rPr>
        <w:t xml:space="preserve">Pratelli, G., Carlisi, D., D’Anneo, A., Maggio, A., Emanuele, S., Palumbo Piccionello, A., Giuliano, M., De Blasio, A., Calvaruso, G., &amp; Lauricella, M. 2022. </w:t>
      </w:r>
      <w:r w:rsidRPr="007365A4">
        <w:t xml:space="preserve">Bio-waste products of Mangifera indica L. reduce adipogenesis and exert antioxidant effects on 3T3-L1 cells. </w:t>
      </w:r>
      <w:r w:rsidRPr="007365A4">
        <w:rPr>
          <w:lang w:val="es-ES"/>
        </w:rPr>
        <w:t>Antioxidants, 11(2), 363.</w:t>
      </w:r>
    </w:p>
    <w:p w14:paraId="159DEB45" w14:textId="77777777" w:rsidR="007365A4" w:rsidRPr="007365A4" w:rsidRDefault="007365A4" w:rsidP="00A76694">
      <w:pPr>
        <w:pStyle w:val="CETReferencetext"/>
      </w:pPr>
      <w:r w:rsidRPr="007365A4">
        <w:rPr>
          <w:lang w:val="es-ES"/>
        </w:rPr>
        <w:t xml:space="preserve">Rivera, D. G., Balmaseda, I. H., León, A. A., Hernández, B. C., Montiel, L. M., Garrido, G. G., Cuzzocrea, S., Hernández, R. D., 2006. </w:t>
      </w:r>
      <w:r w:rsidRPr="007365A4">
        <w:t>Anti-allergic properties of Mangifera indica L. extract (Vimang) and contribution of its glucosylxanthone mangiferin. The Journal of Pharmacy and Pharmacology, 58(3), 385-392.</w:t>
      </w:r>
    </w:p>
    <w:p w14:paraId="66577BE6" w14:textId="77777777" w:rsidR="007365A4" w:rsidRPr="007365A4" w:rsidRDefault="007365A4" w:rsidP="00A76694">
      <w:pPr>
        <w:pStyle w:val="CETReferencetext"/>
        <w:rPr>
          <w:lang w:val="pt-PT"/>
        </w:rPr>
      </w:pPr>
      <w:r w:rsidRPr="007365A4">
        <w:rPr>
          <w:lang w:val="en-US"/>
        </w:rPr>
        <w:t xml:space="preserve">Saha, S., Sadhukhan, P., Sil, P. C., 2016, </w:t>
      </w:r>
      <w:r w:rsidRPr="007365A4">
        <w:t xml:space="preserve">Mangiferin: A xanthonoid with multipotent anti-inflammatory potential: Therapeutic Applications of Mangiferin. </w:t>
      </w:r>
      <w:r w:rsidRPr="007365A4">
        <w:rPr>
          <w:lang w:val="pt-PT"/>
        </w:rPr>
        <w:t>BioFactors, 42(5), 459-474.</w:t>
      </w:r>
    </w:p>
    <w:p w14:paraId="45390B7C" w14:textId="77777777" w:rsidR="007365A4" w:rsidRPr="007365A4" w:rsidRDefault="007365A4" w:rsidP="002C4A68">
      <w:pPr>
        <w:pStyle w:val="CETReferencetext"/>
      </w:pPr>
      <w:r w:rsidRPr="007365A4">
        <w:rPr>
          <w:lang w:val="pt-PT"/>
        </w:rPr>
        <w:t xml:space="preserve">Sánchez-Gomar, I., Benítez-Camacho, J., Cejudo-Bastante, C., Casas, L., Moreno-Luna, R., Mantell, C.,  Durán-Ruiz, M. C., 2022. </w:t>
      </w:r>
      <w:r w:rsidRPr="007365A4">
        <w:t>Pro-Angiogenic Effects of Natural Antioxidants Extracted from Mango Leaf, Olive Leaf and Red Grape Pomace over Endothelial Colony-Forming Cells. Antioxidants, 11(5), 851.</w:t>
      </w:r>
    </w:p>
    <w:p w14:paraId="387A6139" w14:textId="77777777" w:rsidR="007365A4" w:rsidRPr="007365A4" w:rsidRDefault="007365A4" w:rsidP="00AC79C6">
      <w:pPr>
        <w:pStyle w:val="CETReferencetext"/>
      </w:pPr>
      <w:r w:rsidRPr="007365A4">
        <w:t>Scherer, R., Godoy, H. T., 2009, Antioxidant activity index (AAI) by the 2,2-diphenyl-1-picrylhydrazyl method. Food Chemistry, 112(3), 654–658.</w:t>
      </w:r>
    </w:p>
    <w:p w14:paraId="49F0A4FE" w14:textId="77777777" w:rsidR="007365A4" w:rsidRPr="007365A4" w:rsidRDefault="007365A4" w:rsidP="001D5B57">
      <w:pPr>
        <w:pStyle w:val="CETReferencetext"/>
        <w:rPr>
          <w:lang w:val="en-US"/>
        </w:rPr>
      </w:pPr>
      <w:r w:rsidRPr="007365A4">
        <w:rPr>
          <w:lang w:val="en-US"/>
        </w:rPr>
        <w:t xml:space="preserve">Verano-Naranjo, L., Cejudo-Bastante, C., Casas, L., Mantell, C., Martínez De La Ossa, E.J., 2021, </w:t>
      </w:r>
      <w:r w:rsidRPr="007365A4">
        <w:t xml:space="preserve">In vitro study of the release of drugs impregnated by supercritical technology in polylactic acid for biomedical applications. </w:t>
      </w:r>
      <w:r w:rsidRPr="007365A4">
        <w:rPr>
          <w:lang w:val="en-US"/>
        </w:rPr>
        <w:t>Chemical Engineering Transactions, 86, 1063–1068</w:t>
      </w:r>
    </w:p>
    <w:p w14:paraId="1F22C6C5" w14:textId="77777777" w:rsidR="007365A4" w:rsidRPr="007365A4" w:rsidRDefault="007365A4" w:rsidP="002C4A68">
      <w:pPr>
        <w:pStyle w:val="CETReferencetext"/>
        <w:rPr>
          <w:lang w:val="en-US"/>
        </w:rPr>
      </w:pPr>
      <w:r w:rsidRPr="008C1E32">
        <w:rPr>
          <w:lang w:val="en-US"/>
        </w:rPr>
        <w:t xml:space="preserve">Zalepugin, D. Y., Tilkunova, N. A., Chernyshova, I. V. 2020. </w:t>
      </w:r>
      <w:r w:rsidRPr="007365A4">
        <w:t xml:space="preserve">Impregnation of polymer materials in supercritical </w:t>
      </w:r>
      <w:r w:rsidRPr="007365A4">
        <w:rPr>
          <w:lang w:val="en-US"/>
        </w:rPr>
        <w:t>media (a review). Russian Journal of Physical Chemistry B, 14(7), 1067-1076</w:t>
      </w:r>
    </w:p>
    <w:p w14:paraId="3435F238" w14:textId="526B1002" w:rsidR="00224BC0" w:rsidRPr="00714738" w:rsidRDefault="007365A4" w:rsidP="00C95C65">
      <w:pPr>
        <w:pStyle w:val="CETReferencetext"/>
        <w:rPr>
          <w:lang w:val="en-US"/>
        </w:rPr>
      </w:pPr>
      <w:r w:rsidRPr="00550700" w:rsidDel="00CF4D95">
        <w:rPr>
          <w:lang w:val="en-US"/>
        </w:rPr>
        <w:t xml:space="preserve">Zdrahala, R.J., Zdrahala, I.J. 1999. </w:t>
      </w:r>
      <w:r w:rsidRPr="007365A4" w:rsidDel="00CF4D95">
        <w:rPr>
          <w:lang w:val="en-US"/>
        </w:rPr>
        <w:t>Biomedical applications of polyurethanes: a review of past promises, present realities, and a vibrant future. Journal of biomaterials applications, 14, 67-90.</w:t>
      </w:r>
      <w:r w:rsidRPr="007365A4">
        <w:rPr>
          <w:lang w:val="en-US"/>
        </w:rPr>
        <w:t>M’Bengue M-S, Mesnard T, Chai F, Maton M, Gaucher V, Tabary N, García-Fernandez M-J, Sobocinski J, Martel B, Blanchemain N. 2023. Evaluation of a Medical Grade Thermoplastic Polyurethane for the Manufacture of an Implantable Medical Device: The Impact of FDM 3D-Printing and Gamma</w:t>
      </w:r>
      <w:r w:rsidRPr="007365A4">
        <w:rPr>
          <w:rFonts w:ascii="Helvetica" w:hAnsi="Helvetica"/>
          <w:color w:val="222222"/>
          <w:szCs w:val="18"/>
          <w:lang w:val="en-US" w:eastAsia="es-ES"/>
        </w:rPr>
        <w:t xml:space="preserve"> </w:t>
      </w:r>
      <w:r w:rsidRPr="007365A4">
        <w:rPr>
          <w:lang w:val="en-US"/>
        </w:rPr>
        <w:t>Sterilization. </w:t>
      </w:r>
      <w:r w:rsidRPr="007365A4">
        <w:rPr>
          <w:lang w:val="es-ES"/>
        </w:rPr>
        <w:t>Pharmaceutics, 15(2):456.</w:t>
      </w:r>
    </w:p>
    <w:sectPr w:rsidR="00224BC0" w:rsidRPr="00714738"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43C7E" w14:textId="77777777" w:rsidR="00B128AD" w:rsidRDefault="00B128AD" w:rsidP="004F5E36">
      <w:r>
        <w:separator/>
      </w:r>
    </w:p>
  </w:endnote>
  <w:endnote w:type="continuationSeparator" w:id="0">
    <w:p w14:paraId="3B269FB7" w14:textId="77777777" w:rsidR="00B128AD" w:rsidRDefault="00B128AD" w:rsidP="004F5E36">
      <w:r>
        <w:continuationSeparator/>
      </w:r>
    </w:p>
  </w:endnote>
  <w:endnote w:type="continuationNotice" w:id="1">
    <w:p w14:paraId="07DD2B96" w14:textId="77777777" w:rsidR="00B128AD" w:rsidRDefault="00B128A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672481" w14:textId="77777777" w:rsidR="00B128AD" w:rsidRDefault="00B128AD" w:rsidP="004F5E36">
      <w:r>
        <w:separator/>
      </w:r>
    </w:p>
  </w:footnote>
  <w:footnote w:type="continuationSeparator" w:id="0">
    <w:p w14:paraId="510D701C" w14:textId="77777777" w:rsidR="00B128AD" w:rsidRDefault="00B128AD" w:rsidP="004F5E36">
      <w:r>
        <w:continuationSeparator/>
      </w:r>
    </w:p>
  </w:footnote>
  <w:footnote w:type="continuationNotice" w:id="1">
    <w:p w14:paraId="1AA1E9F7" w14:textId="77777777" w:rsidR="00B128AD" w:rsidRDefault="00B128AD">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Listaconnmeros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aconnmeros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aconvieta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aconvieta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aconvieta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aconviet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absica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8"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760326956">
    <w:abstractNumId w:val="10"/>
  </w:num>
  <w:num w:numId="2" w16cid:durableId="857086626">
    <w:abstractNumId w:val="8"/>
  </w:num>
  <w:num w:numId="3" w16cid:durableId="606427716">
    <w:abstractNumId w:val="3"/>
  </w:num>
  <w:num w:numId="4" w16cid:durableId="142814449">
    <w:abstractNumId w:val="2"/>
  </w:num>
  <w:num w:numId="5" w16cid:durableId="270480031">
    <w:abstractNumId w:val="1"/>
  </w:num>
  <w:num w:numId="6" w16cid:durableId="1014191145">
    <w:abstractNumId w:val="0"/>
  </w:num>
  <w:num w:numId="7" w16cid:durableId="2059087245">
    <w:abstractNumId w:val="9"/>
  </w:num>
  <w:num w:numId="8" w16cid:durableId="567232786">
    <w:abstractNumId w:val="7"/>
  </w:num>
  <w:num w:numId="9" w16cid:durableId="626854610">
    <w:abstractNumId w:val="6"/>
  </w:num>
  <w:num w:numId="10" w16cid:durableId="1622496257">
    <w:abstractNumId w:val="5"/>
  </w:num>
  <w:num w:numId="11" w16cid:durableId="990451529">
    <w:abstractNumId w:val="4"/>
  </w:num>
  <w:num w:numId="12" w16cid:durableId="1127237099">
    <w:abstractNumId w:val="17"/>
  </w:num>
  <w:num w:numId="13" w16cid:durableId="155926288">
    <w:abstractNumId w:val="12"/>
  </w:num>
  <w:num w:numId="14" w16cid:durableId="9258001">
    <w:abstractNumId w:val="18"/>
  </w:num>
  <w:num w:numId="15" w16cid:durableId="1840269687">
    <w:abstractNumId w:val="20"/>
  </w:num>
  <w:num w:numId="16" w16cid:durableId="548490199">
    <w:abstractNumId w:val="19"/>
  </w:num>
  <w:num w:numId="17" w16cid:durableId="1830708316">
    <w:abstractNumId w:val="11"/>
  </w:num>
  <w:num w:numId="18" w16cid:durableId="1117333601">
    <w:abstractNumId w:val="12"/>
    <w:lvlOverride w:ilvl="0">
      <w:startOverride w:val="1"/>
    </w:lvlOverride>
  </w:num>
  <w:num w:numId="19" w16cid:durableId="164900551">
    <w:abstractNumId w:val="16"/>
  </w:num>
  <w:num w:numId="20" w16cid:durableId="1091242588">
    <w:abstractNumId w:val="15"/>
  </w:num>
  <w:num w:numId="21" w16cid:durableId="1951355538">
    <w:abstractNumId w:val="14"/>
  </w:num>
  <w:num w:numId="22" w16cid:durableId="263267192">
    <w:abstractNumId w:val="13"/>
  </w:num>
  <w:num w:numId="23" w16cid:durableId="1315262095">
    <w:abstractNumId w:val="10"/>
  </w:num>
  <w:num w:numId="24" w16cid:durableId="1678726924">
    <w:abstractNumId w:val="10"/>
  </w:num>
  <w:num w:numId="25" w16cid:durableId="1469855632">
    <w:abstractNumId w:val="10"/>
  </w:num>
  <w:num w:numId="26" w16cid:durableId="723017982">
    <w:abstractNumId w:val="10"/>
  </w:num>
  <w:num w:numId="27" w16cid:durableId="11314405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065CD"/>
    <w:rsid w:val="00007BF8"/>
    <w:rsid w:val="00007D76"/>
    <w:rsid w:val="000117CB"/>
    <w:rsid w:val="0001213D"/>
    <w:rsid w:val="000163A2"/>
    <w:rsid w:val="0001741F"/>
    <w:rsid w:val="00017A23"/>
    <w:rsid w:val="00020E8F"/>
    <w:rsid w:val="00021234"/>
    <w:rsid w:val="00025589"/>
    <w:rsid w:val="0003148D"/>
    <w:rsid w:val="00031EEC"/>
    <w:rsid w:val="00035C9E"/>
    <w:rsid w:val="000462AD"/>
    <w:rsid w:val="00047F6B"/>
    <w:rsid w:val="00051566"/>
    <w:rsid w:val="000527D3"/>
    <w:rsid w:val="0005407D"/>
    <w:rsid w:val="00054781"/>
    <w:rsid w:val="000562A9"/>
    <w:rsid w:val="000569C1"/>
    <w:rsid w:val="00061020"/>
    <w:rsid w:val="00062A9A"/>
    <w:rsid w:val="000636BD"/>
    <w:rsid w:val="00065058"/>
    <w:rsid w:val="00077CEC"/>
    <w:rsid w:val="00080274"/>
    <w:rsid w:val="00086C39"/>
    <w:rsid w:val="00091AA3"/>
    <w:rsid w:val="00092173"/>
    <w:rsid w:val="000923C8"/>
    <w:rsid w:val="00092CB8"/>
    <w:rsid w:val="00093062"/>
    <w:rsid w:val="0009582F"/>
    <w:rsid w:val="000972EA"/>
    <w:rsid w:val="00097F7B"/>
    <w:rsid w:val="000A03B2"/>
    <w:rsid w:val="000A2CD0"/>
    <w:rsid w:val="000A5478"/>
    <w:rsid w:val="000A6511"/>
    <w:rsid w:val="000A7540"/>
    <w:rsid w:val="000B02B7"/>
    <w:rsid w:val="000B0B93"/>
    <w:rsid w:val="000B4C8D"/>
    <w:rsid w:val="000B7089"/>
    <w:rsid w:val="000C0EA8"/>
    <w:rsid w:val="000C1956"/>
    <w:rsid w:val="000C256C"/>
    <w:rsid w:val="000D0268"/>
    <w:rsid w:val="000D0633"/>
    <w:rsid w:val="000D275F"/>
    <w:rsid w:val="000D34BE"/>
    <w:rsid w:val="000E102F"/>
    <w:rsid w:val="000E36F1"/>
    <w:rsid w:val="000E3A73"/>
    <w:rsid w:val="000E414A"/>
    <w:rsid w:val="000E55C8"/>
    <w:rsid w:val="000E7412"/>
    <w:rsid w:val="000F028E"/>
    <w:rsid w:val="000F093C"/>
    <w:rsid w:val="000F11A1"/>
    <w:rsid w:val="000F4191"/>
    <w:rsid w:val="000F5C7C"/>
    <w:rsid w:val="000F787B"/>
    <w:rsid w:val="00102F67"/>
    <w:rsid w:val="001069E5"/>
    <w:rsid w:val="00115E85"/>
    <w:rsid w:val="0011780A"/>
    <w:rsid w:val="00117FF4"/>
    <w:rsid w:val="0012091F"/>
    <w:rsid w:val="001210E6"/>
    <w:rsid w:val="00123ACB"/>
    <w:rsid w:val="001244CC"/>
    <w:rsid w:val="00126BBA"/>
    <w:rsid w:val="00126BC2"/>
    <w:rsid w:val="001308B6"/>
    <w:rsid w:val="00130A5E"/>
    <w:rsid w:val="0013121F"/>
    <w:rsid w:val="00131FE6"/>
    <w:rsid w:val="0013263F"/>
    <w:rsid w:val="001331DF"/>
    <w:rsid w:val="001345F1"/>
    <w:rsid w:val="00134DE4"/>
    <w:rsid w:val="001357EC"/>
    <w:rsid w:val="001357F6"/>
    <w:rsid w:val="00135902"/>
    <w:rsid w:val="0013760E"/>
    <w:rsid w:val="0014034D"/>
    <w:rsid w:val="0014237F"/>
    <w:rsid w:val="00143AD3"/>
    <w:rsid w:val="00144D16"/>
    <w:rsid w:val="001452D0"/>
    <w:rsid w:val="001454C3"/>
    <w:rsid w:val="001455EB"/>
    <w:rsid w:val="00150BC9"/>
    <w:rsid w:val="00150E59"/>
    <w:rsid w:val="00152DE3"/>
    <w:rsid w:val="00153A93"/>
    <w:rsid w:val="00160715"/>
    <w:rsid w:val="00161016"/>
    <w:rsid w:val="0016163D"/>
    <w:rsid w:val="00163BAF"/>
    <w:rsid w:val="00164CF9"/>
    <w:rsid w:val="001667A6"/>
    <w:rsid w:val="00170ABC"/>
    <w:rsid w:val="0018126E"/>
    <w:rsid w:val="001846D8"/>
    <w:rsid w:val="00184AD6"/>
    <w:rsid w:val="00185A68"/>
    <w:rsid w:val="00185F31"/>
    <w:rsid w:val="00186287"/>
    <w:rsid w:val="00187D44"/>
    <w:rsid w:val="001925A4"/>
    <w:rsid w:val="00197823"/>
    <w:rsid w:val="001A4AF7"/>
    <w:rsid w:val="001B0349"/>
    <w:rsid w:val="001B1B2B"/>
    <w:rsid w:val="001B1E93"/>
    <w:rsid w:val="001B4A68"/>
    <w:rsid w:val="001B65C1"/>
    <w:rsid w:val="001B66B8"/>
    <w:rsid w:val="001B751B"/>
    <w:rsid w:val="001B7A7C"/>
    <w:rsid w:val="001C427F"/>
    <w:rsid w:val="001C46BA"/>
    <w:rsid w:val="001C4CB1"/>
    <w:rsid w:val="001C684B"/>
    <w:rsid w:val="001D076C"/>
    <w:rsid w:val="001D0CFB"/>
    <w:rsid w:val="001D12CD"/>
    <w:rsid w:val="001D21AF"/>
    <w:rsid w:val="001D2CF4"/>
    <w:rsid w:val="001D53FC"/>
    <w:rsid w:val="001D5A55"/>
    <w:rsid w:val="001D5B57"/>
    <w:rsid w:val="001D62B3"/>
    <w:rsid w:val="001D652E"/>
    <w:rsid w:val="001D6804"/>
    <w:rsid w:val="001D715B"/>
    <w:rsid w:val="001D71B8"/>
    <w:rsid w:val="001E28F8"/>
    <w:rsid w:val="001E4FC9"/>
    <w:rsid w:val="001F084C"/>
    <w:rsid w:val="001F2408"/>
    <w:rsid w:val="001F42A5"/>
    <w:rsid w:val="001F702B"/>
    <w:rsid w:val="001F76F9"/>
    <w:rsid w:val="001F7B9D"/>
    <w:rsid w:val="00201C93"/>
    <w:rsid w:val="002026C5"/>
    <w:rsid w:val="00203291"/>
    <w:rsid w:val="00203848"/>
    <w:rsid w:val="00204184"/>
    <w:rsid w:val="00205768"/>
    <w:rsid w:val="002079FF"/>
    <w:rsid w:val="00211D1A"/>
    <w:rsid w:val="002143DF"/>
    <w:rsid w:val="00215DEF"/>
    <w:rsid w:val="00216768"/>
    <w:rsid w:val="002224B4"/>
    <w:rsid w:val="002233F6"/>
    <w:rsid w:val="00224BC0"/>
    <w:rsid w:val="00225899"/>
    <w:rsid w:val="002265B1"/>
    <w:rsid w:val="00232F49"/>
    <w:rsid w:val="00232F72"/>
    <w:rsid w:val="00234B29"/>
    <w:rsid w:val="002367AE"/>
    <w:rsid w:val="002442DF"/>
    <w:rsid w:val="002447EF"/>
    <w:rsid w:val="002454D0"/>
    <w:rsid w:val="00250CE4"/>
    <w:rsid w:val="00251550"/>
    <w:rsid w:val="00263B05"/>
    <w:rsid w:val="00266C2F"/>
    <w:rsid w:val="0027221A"/>
    <w:rsid w:val="002751C3"/>
    <w:rsid w:val="00275444"/>
    <w:rsid w:val="00275B61"/>
    <w:rsid w:val="00275F83"/>
    <w:rsid w:val="00280FAF"/>
    <w:rsid w:val="00282656"/>
    <w:rsid w:val="00283353"/>
    <w:rsid w:val="0028351F"/>
    <w:rsid w:val="002863A9"/>
    <w:rsid w:val="00290A73"/>
    <w:rsid w:val="0029156F"/>
    <w:rsid w:val="00291F4E"/>
    <w:rsid w:val="00292017"/>
    <w:rsid w:val="002926EF"/>
    <w:rsid w:val="002929DB"/>
    <w:rsid w:val="00295484"/>
    <w:rsid w:val="002963CD"/>
    <w:rsid w:val="00296B83"/>
    <w:rsid w:val="002A4CE2"/>
    <w:rsid w:val="002A5B96"/>
    <w:rsid w:val="002A7612"/>
    <w:rsid w:val="002B136A"/>
    <w:rsid w:val="002B4015"/>
    <w:rsid w:val="002B6C4E"/>
    <w:rsid w:val="002B78CE"/>
    <w:rsid w:val="002C05EB"/>
    <w:rsid w:val="002C2FB6"/>
    <w:rsid w:val="002C3671"/>
    <w:rsid w:val="002C3998"/>
    <w:rsid w:val="002C4A68"/>
    <w:rsid w:val="002C56B1"/>
    <w:rsid w:val="002D0053"/>
    <w:rsid w:val="002D25EE"/>
    <w:rsid w:val="002D4E01"/>
    <w:rsid w:val="002D6DD6"/>
    <w:rsid w:val="002D7ADF"/>
    <w:rsid w:val="002E07CA"/>
    <w:rsid w:val="002E155C"/>
    <w:rsid w:val="002E5FA7"/>
    <w:rsid w:val="002F025B"/>
    <w:rsid w:val="002F13C7"/>
    <w:rsid w:val="002F1637"/>
    <w:rsid w:val="002F3309"/>
    <w:rsid w:val="002F7ED7"/>
    <w:rsid w:val="003008CE"/>
    <w:rsid w:val="003009B7"/>
    <w:rsid w:val="00300E56"/>
    <w:rsid w:val="0030152C"/>
    <w:rsid w:val="00301F8A"/>
    <w:rsid w:val="0030469C"/>
    <w:rsid w:val="00312D5A"/>
    <w:rsid w:val="00312E58"/>
    <w:rsid w:val="003131E0"/>
    <w:rsid w:val="00313C9A"/>
    <w:rsid w:val="00321CA6"/>
    <w:rsid w:val="00323763"/>
    <w:rsid w:val="00323C5F"/>
    <w:rsid w:val="00324E0E"/>
    <w:rsid w:val="00325DE5"/>
    <w:rsid w:val="003309C8"/>
    <w:rsid w:val="00330E0E"/>
    <w:rsid w:val="00331BCE"/>
    <w:rsid w:val="00333360"/>
    <w:rsid w:val="00333C4E"/>
    <w:rsid w:val="00334C09"/>
    <w:rsid w:val="0034277B"/>
    <w:rsid w:val="00343D02"/>
    <w:rsid w:val="00346C51"/>
    <w:rsid w:val="0034777E"/>
    <w:rsid w:val="0035082F"/>
    <w:rsid w:val="0035238D"/>
    <w:rsid w:val="00355DDF"/>
    <w:rsid w:val="00370A6E"/>
    <w:rsid w:val="00371401"/>
    <w:rsid w:val="00371BBD"/>
    <w:rsid w:val="00371FF7"/>
    <w:rsid w:val="003723D4"/>
    <w:rsid w:val="00375B84"/>
    <w:rsid w:val="00381110"/>
    <w:rsid w:val="00381905"/>
    <w:rsid w:val="00381B46"/>
    <w:rsid w:val="003829C7"/>
    <w:rsid w:val="00384CC8"/>
    <w:rsid w:val="003871FD"/>
    <w:rsid w:val="0038727E"/>
    <w:rsid w:val="003951C5"/>
    <w:rsid w:val="00397C8A"/>
    <w:rsid w:val="003A0D36"/>
    <w:rsid w:val="003A1E30"/>
    <w:rsid w:val="003A2829"/>
    <w:rsid w:val="003A3128"/>
    <w:rsid w:val="003A52E1"/>
    <w:rsid w:val="003A7D1C"/>
    <w:rsid w:val="003B2809"/>
    <w:rsid w:val="003B304B"/>
    <w:rsid w:val="003B3146"/>
    <w:rsid w:val="003B632D"/>
    <w:rsid w:val="003C0318"/>
    <w:rsid w:val="003C0CE2"/>
    <w:rsid w:val="003C3021"/>
    <w:rsid w:val="003C461E"/>
    <w:rsid w:val="003C581A"/>
    <w:rsid w:val="003D14C7"/>
    <w:rsid w:val="003D1B98"/>
    <w:rsid w:val="003D40CB"/>
    <w:rsid w:val="003D48FA"/>
    <w:rsid w:val="003D7AB7"/>
    <w:rsid w:val="003E035B"/>
    <w:rsid w:val="003E45DB"/>
    <w:rsid w:val="003E67E9"/>
    <w:rsid w:val="003F015E"/>
    <w:rsid w:val="003F079C"/>
    <w:rsid w:val="003F33C7"/>
    <w:rsid w:val="003F6570"/>
    <w:rsid w:val="003F6D69"/>
    <w:rsid w:val="00400414"/>
    <w:rsid w:val="0040315F"/>
    <w:rsid w:val="0040477A"/>
    <w:rsid w:val="00405303"/>
    <w:rsid w:val="00406F3E"/>
    <w:rsid w:val="0041446B"/>
    <w:rsid w:val="0041457D"/>
    <w:rsid w:val="00415C78"/>
    <w:rsid w:val="00421681"/>
    <w:rsid w:val="00423D00"/>
    <w:rsid w:val="004245FB"/>
    <w:rsid w:val="00425E8C"/>
    <w:rsid w:val="004268CB"/>
    <w:rsid w:val="004279AD"/>
    <w:rsid w:val="00430D2D"/>
    <w:rsid w:val="0044071E"/>
    <w:rsid w:val="004429BE"/>
    <w:rsid w:val="0044329C"/>
    <w:rsid w:val="00443D60"/>
    <w:rsid w:val="004449C4"/>
    <w:rsid w:val="00446348"/>
    <w:rsid w:val="00453E24"/>
    <w:rsid w:val="004547F3"/>
    <w:rsid w:val="00456A2C"/>
    <w:rsid w:val="00457456"/>
    <w:rsid w:val="004577FE"/>
    <w:rsid w:val="00457B9C"/>
    <w:rsid w:val="0046164A"/>
    <w:rsid w:val="004628D2"/>
    <w:rsid w:val="00462DCD"/>
    <w:rsid w:val="004648AD"/>
    <w:rsid w:val="00467338"/>
    <w:rsid w:val="004703A9"/>
    <w:rsid w:val="00475A76"/>
    <w:rsid w:val="004760DE"/>
    <w:rsid w:val="004763D7"/>
    <w:rsid w:val="00480841"/>
    <w:rsid w:val="00481519"/>
    <w:rsid w:val="004901A8"/>
    <w:rsid w:val="004956CF"/>
    <w:rsid w:val="004979CB"/>
    <w:rsid w:val="004A004E"/>
    <w:rsid w:val="004A0E69"/>
    <w:rsid w:val="004A24CF"/>
    <w:rsid w:val="004A6BF3"/>
    <w:rsid w:val="004A6C81"/>
    <w:rsid w:val="004B06AF"/>
    <w:rsid w:val="004B412B"/>
    <w:rsid w:val="004B4665"/>
    <w:rsid w:val="004B480C"/>
    <w:rsid w:val="004C1276"/>
    <w:rsid w:val="004C38A5"/>
    <w:rsid w:val="004C3D1D"/>
    <w:rsid w:val="004C3D84"/>
    <w:rsid w:val="004C58FE"/>
    <w:rsid w:val="004C7913"/>
    <w:rsid w:val="004D2AD4"/>
    <w:rsid w:val="004E003D"/>
    <w:rsid w:val="004E0943"/>
    <w:rsid w:val="004E1524"/>
    <w:rsid w:val="004E2D86"/>
    <w:rsid w:val="004E3D09"/>
    <w:rsid w:val="004E4DD6"/>
    <w:rsid w:val="004E59C2"/>
    <w:rsid w:val="004E6F55"/>
    <w:rsid w:val="004F283C"/>
    <w:rsid w:val="004F5804"/>
    <w:rsid w:val="004F5E36"/>
    <w:rsid w:val="00500823"/>
    <w:rsid w:val="00500846"/>
    <w:rsid w:val="00502309"/>
    <w:rsid w:val="0050451A"/>
    <w:rsid w:val="00504F71"/>
    <w:rsid w:val="00507B47"/>
    <w:rsid w:val="00507BEF"/>
    <w:rsid w:val="00507CC9"/>
    <w:rsid w:val="005119A5"/>
    <w:rsid w:val="005125B8"/>
    <w:rsid w:val="00520910"/>
    <w:rsid w:val="005216FD"/>
    <w:rsid w:val="00521990"/>
    <w:rsid w:val="00523BE3"/>
    <w:rsid w:val="005255AE"/>
    <w:rsid w:val="005278B7"/>
    <w:rsid w:val="00532016"/>
    <w:rsid w:val="0053461B"/>
    <w:rsid w:val="005346C8"/>
    <w:rsid w:val="00534E41"/>
    <w:rsid w:val="00543E7D"/>
    <w:rsid w:val="005446C0"/>
    <w:rsid w:val="00544E45"/>
    <w:rsid w:val="005470D7"/>
    <w:rsid w:val="00547704"/>
    <w:rsid w:val="005477B9"/>
    <w:rsid w:val="00547A68"/>
    <w:rsid w:val="00550700"/>
    <w:rsid w:val="005531C9"/>
    <w:rsid w:val="0055696A"/>
    <w:rsid w:val="00556ED1"/>
    <w:rsid w:val="00557AFB"/>
    <w:rsid w:val="005669BB"/>
    <w:rsid w:val="00570C43"/>
    <w:rsid w:val="00572334"/>
    <w:rsid w:val="00574476"/>
    <w:rsid w:val="00580A91"/>
    <w:rsid w:val="005847DF"/>
    <w:rsid w:val="0058733C"/>
    <w:rsid w:val="00590279"/>
    <w:rsid w:val="00590D50"/>
    <w:rsid w:val="005911BC"/>
    <w:rsid w:val="0059279D"/>
    <w:rsid w:val="00595815"/>
    <w:rsid w:val="00596016"/>
    <w:rsid w:val="0059703D"/>
    <w:rsid w:val="005973F1"/>
    <w:rsid w:val="005A3534"/>
    <w:rsid w:val="005B2110"/>
    <w:rsid w:val="005B5A98"/>
    <w:rsid w:val="005B61E6"/>
    <w:rsid w:val="005C1099"/>
    <w:rsid w:val="005C174C"/>
    <w:rsid w:val="005C1D11"/>
    <w:rsid w:val="005C269E"/>
    <w:rsid w:val="005C7576"/>
    <w:rsid w:val="005C77E1"/>
    <w:rsid w:val="005C7CA9"/>
    <w:rsid w:val="005D0081"/>
    <w:rsid w:val="005D2A14"/>
    <w:rsid w:val="005D33E6"/>
    <w:rsid w:val="005D3DA9"/>
    <w:rsid w:val="005D668A"/>
    <w:rsid w:val="005D6A2F"/>
    <w:rsid w:val="005E0E81"/>
    <w:rsid w:val="005E13C4"/>
    <w:rsid w:val="005E1A82"/>
    <w:rsid w:val="005E21D6"/>
    <w:rsid w:val="005E4C89"/>
    <w:rsid w:val="005E5599"/>
    <w:rsid w:val="005E5B61"/>
    <w:rsid w:val="005E6545"/>
    <w:rsid w:val="005E794C"/>
    <w:rsid w:val="005F0A28"/>
    <w:rsid w:val="005F0C11"/>
    <w:rsid w:val="005F0E5E"/>
    <w:rsid w:val="005F1622"/>
    <w:rsid w:val="005F7DA0"/>
    <w:rsid w:val="00600535"/>
    <w:rsid w:val="00603A22"/>
    <w:rsid w:val="0060462D"/>
    <w:rsid w:val="00605E68"/>
    <w:rsid w:val="00610CD6"/>
    <w:rsid w:val="00620DEE"/>
    <w:rsid w:val="0062185D"/>
    <w:rsid w:val="00621F92"/>
    <w:rsid w:val="0062280A"/>
    <w:rsid w:val="00624E2B"/>
    <w:rsid w:val="00625639"/>
    <w:rsid w:val="006258F1"/>
    <w:rsid w:val="00625CB5"/>
    <w:rsid w:val="006276ED"/>
    <w:rsid w:val="00631B33"/>
    <w:rsid w:val="00634715"/>
    <w:rsid w:val="00634BC7"/>
    <w:rsid w:val="00634BF8"/>
    <w:rsid w:val="00634E0E"/>
    <w:rsid w:val="00635BC0"/>
    <w:rsid w:val="0064184D"/>
    <w:rsid w:val="006422CC"/>
    <w:rsid w:val="00644956"/>
    <w:rsid w:val="006505F2"/>
    <w:rsid w:val="00650E83"/>
    <w:rsid w:val="0065347A"/>
    <w:rsid w:val="00660E3E"/>
    <w:rsid w:val="006626F9"/>
    <w:rsid w:val="00662E74"/>
    <w:rsid w:val="00664FD3"/>
    <w:rsid w:val="00671036"/>
    <w:rsid w:val="006712A1"/>
    <w:rsid w:val="0067462D"/>
    <w:rsid w:val="00675F3B"/>
    <w:rsid w:val="00677ACE"/>
    <w:rsid w:val="00680C23"/>
    <w:rsid w:val="00687344"/>
    <w:rsid w:val="006910F5"/>
    <w:rsid w:val="0069321E"/>
    <w:rsid w:val="00693766"/>
    <w:rsid w:val="00694016"/>
    <w:rsid w:val="006953B5"/>
    <w:rsid w:val="006962AC"/>
    <w:rsid w:val="006A01E5"/>
    <w:rsid w:val="006A0F01"/>
    <w:rsid w:val="006A3281"/>
    <w:rsid w:val="006A5721"/>
    <w:rsid w:val="006B2D6A"/>
    <w:rsid w:val="006B39DD"/>
    <w:rsid w:val="006B4888"/>
    <w:rsid w:val="006B4BE0"/>
    <w:rsid w:val="006B6D33"/>
    <w:rsid w:val="006C0469"/>
    <w:rsid w:val="006C2E45"/>
    <w:rsid w:val="006C359C"/>
    <w:rsid w:val="006C5579"/>
    <w:rsid w:val="006D6564"/>
    <w:rsid w:val="006D6E8B"/>
    <w:rsid w:val="006D792A"/>
    <w:rsid w:val="006D7995"/>
    <w:rsid w:val="006E0F4C"/>
    <w:rsid w:val="006E3A05"/>
    <w:rsid w:val="006E3B1C"/>
    <w:rsid w:val="006E48AA"/>
    <w:rsid w:val="006E4E88"/>
    <w:rsid w:val="006E737D"/>
    <w:rsid w:val="006F0AC5"/>
    <w:rsid w:val="006F3475"/>
    <w:rsid w:val="006F55FF"/>
    <w:rsid w:val="00701D18"/>
    <w:rsid w:val="00702186"/>
    <w:rsid w:val="007044F2"/>
    <w:rsid w:val="00710BAA"/>
    <w:rsid w:val="0071336B"/>
    <w:rsid w:val="00713973"/>
    <w:rsid w:val="00714738"/>
    <w:rsid w:val="0071614A"/>
    <w:rsid w:val="00720A14"/>
    <w:rsid w:val="00720A24"/>
    <w:rsid w:val="00721565"/>
    <w:rsid w:val="00726362"/>
    <w:rsid w:val="007307F0"/>
    <w:rsid w:val="00732386"/>
    <w:rsid w:val="0073514D"/>
    <w:rsid w:val="007365A4"/>
    <w:rsid w:val="0074165D"/>
    <w:rsid w:val="00742473"/>
    <w:rsid w:val="007430BF"/>
    <w:rsid w:val="007431DA"/>
    <w:rsid w:val="00743870"/>
    <w:rsid w:val="007447F3"/>
    <w:rsid w:val="00744ACF"/>
    <w:rsid w:val="00744EFC"/>
    <w:rsid w:val="007474AE"/>
    <w:rsid w:val="007475DD"/>
    <w:rsid w:val="007479A9"/>
    <w:rsid w:val="00750D48"/>
    <w:rsid w:val="00751533"/>
    <w:rsid w:val="0075188D"/>
    <w:rsid w:val="00752BFB"/>
    <w:rsid w:val="0075499F"/>
    <w:rsid w:val="00754DBE"/>
    <w:rsid w:val="00757D6A"/>
    <w:rsid w:val="00761B3D"/>
    <w:rsid w:val="00762107"/>
    <w:rsid w:val="007661C8"/>
    <w:rsid w:val="007665C0"/>
    <w:rsid w:val="0077098D"/>
    <w:rsid w:val="00771290"/>
    <w:rsid w:val="0077375E"/>
    <w:rsid w:val="0077449F"/>
    <w:rsid w:val="00775D77"/>
    <w:rsid w:val="0077685A"/>
    <w:rsid w:val="007817C0"/>
    <w:rsid w:val="00787990"/>
    <w:rsid w:val="007931FA"/>
    <w:rsid w:val="00794AD8"/>
    <w:rsid w:val="007A02EE"/>
    <w:rsid w:val="007A3424"/>
    <w:rsid w:val="007A4861"/>
    <w:rsid w:val="007A4E23"/>
    <w:rsid w:val="007A638E"/>
    <w:rsid w:val="007A6777"/>
    <w:rsid w:val="007A7BBA"/>
    <w:rsid w:val="007B0C50"/>
    <w:rsid w:val="007B48F9"/>
    <w:rsid w:val="007B5551"/>
    <w:rsid w:val="007B68B0"/>
    <w:rsid w:val="007C1A43"/>
    <w:rsid w:val="007C63C6"/>
    <w:rsid w:val="007C6C5B"/>
    <w:rsid w:val="007C7C18"/>
    <w:rsid w:val="007D031E"/>
    <w:rsid w:val="007D0951"/>
    <w:rsid w:val="007D1643"/>
    <w:rsid w:val="007D5F9F"/>
    <w:rsid w:val="007E3AE8"/>
    <w:rsid w:val="007E455F"/>
    <w:rsid w:val="007E7BCB"/>
    <w:rsid w:val="007F0A0E"/>
    <w:rsid w:val="007F4643"/>
    <w:rsid w:val="007F52C6"/>
    <w:rsid w:val="007F5929"/>
    <w:rsid w:val="007F5FF0"/>
    <w:rsid w:val="0080013E"/>
    <w:rsid w:val="0080462E"/>
    <w:rsid w:val="00811DD3"/>
    <w:rsid w:val="00813288"/>
    <w:rsid w:val="0081365D"/>
    <w:rsid w:val="00814051"/>
    <w:rsid w:val="008148B0"/>
    <w:rsid w:val="00815AB7"/>
    <w:rsid w:val="008167E0"/>
    <w:rsid w:val="008168FC"/>
    <w:rsid w:val="008222A8"/>
    <w:rsid w:val="00822AE7"/>
    <w:rsid w:val="0082532E"/>
    <w:rsid w:val="00825B97"/>
    <w:rsid w:val="00830996"/>
    <w:rsid w:val="00833163"/>
    <w:rsid w:val="008345F1"/>
    <w:rsid w:val="008356F6"/>
    <w:rsid w:val="0083713F"/>
    <w:rsid w:val="008430B4"/>
    <w:rsid w:val="00843FE4"/>
    <w:rsid w:val="00845B28"/>
    <w:rsid w:val="0084684D"/>
    <w:rsid w:val="0085255E"/>
    <w:rsid w:val="00860817"/>
    <w:rsid w:val="00865B07"/>
    <w:rsid w:val="008667EA"/>
    <w:rsid w:val="00866B18"/>
    <w:rsid w:val="0087637F"/>
    <w:rsid w:val="00876E84"/>
    <w:rsid w:val="00877A8C"/>
    <w:rsid w:val="008854EC"/>
    <w:rsid w:val="008921AD"/>
    <w:rsid w:val="00892AD5"/>
    <w:rsid w:val="008A1512"/>
    <w:rsid w:val="008A20BF"/>
    <w:rsid w:val="008A285D"/>
    <w:rsid w:val="008A333B"/>
    <w:rsid w:val="008A4943"/>
    <w:rsid w:val="008A67BA"/>
    <w:rsid w:val="008A6EC8"/>
    <w:rsid w:val="008B21B1"/>
    <w:rsid w:val="008B362F"/>
    <w:rsid w:val="008B578D"/>
    <w:rsid w:val="008B5BCE"/>
    <w:rsid w:val="008C1E32"/>
    <w:rsid w:val="008C3D6E"/>
    <w:rsid w:val="008C47BD"/>
    <w:rsid w:val="008C54CA"/>
    <w:rsid w:val="008C72B2"/>
    <w:rsid w:val="008D1529"/>
    <w:rsid w:val="008D1A6C"/>
    <w:rsid w:val="008D2B8F"/>
    <w:rsid w:val="008D32B9"/>
    <w:rsid w:val="008D42EE"/>
    <w:rsid w:val="008D433B"/>
    <w:rsid w:val="008D4A16"/>
    <w:rsid w:val="008E0A2B"/>
    <w:rsid w:val="008E1F74"/>
    <w:rsid w:val="008E5242"/>
    <w:rsid w:val="008E566E"/>
    <w:rsid w:val="008E66CE"/>
    <w:rsid w:val="008F6991"/>
    <w:rsid w:val="0090161A"/>
    <w:rsid w:val="00901EB6"/>
    <w:rsid w:val="00902EEF"/>
    <w:rsid w:val="00903B6D"/>
    <w:rsid w:val="0090468E"/>
    <w:rsid w:val="00904C62"/>
    <w:rsid w:val="00911CF4"/>
    <w:rsid w:val="009125FB"/>
    <w:rsid w:val="009165A8"/>
    <w:rsid w:val="00917035"/>
    <w:rsid w:val="00917650"/>
    <w:rsid w:val="00922BA8"/>
    <w:rsid w:val="00924BAB"/>
    <w:rsid w:val="00924DAC"/>
    <w:rsid w:val="00927058"/>
    <w:rsid w:val="00932F3B"/>
    <w:rsid w:val="00933AB9"/>
    <w:rsid w:val="0094096A"/>
    <w:rsid w:val="00942750"/>
    <w:rsid w:val="0094444B"/>
    <w:rsid w:val="009450CE"/>
    <w:rsid w:val="009459BB"/>
    <w:rsid w:val="00947179"/>
    <w:rsid w:val="00947985"/>
    <w:rsid w:val="0095164B"/>
    <w:rsid w:val="00951A69"/>
    <w:rsid w:val="00951C7B"/>
    <w:rsid w:val="00954090"/>
    <w:rsid w:val="009566AE"/>
    <w:rsid w:val="009573E7"/>
    <w:rsid w:val="009577BC"/>
    <w:rsid w:val="009617C1"/>
    <w:rsid w:val="00963B4B"/>
    <w:rsid w:val="00963DA7"/>
    <w:rsid w:val="00963E05"/>
    <w:rsid w:val="00964A45"/>
    <w:rsid w:val="00964D47"/>
    <w:rsid w:val="00967843"/>
    <w:rsid w:val="00967D54"/>
    <w:rsid w:val="00971028"/>
    <w:rsid w:val="00974251"/>
    <w:rsid w:val="009742A8"/>
    <w:rsid w:val="009745CA"/>
    <w:rsid w:val="00977D59"/>
    <w:rsid w:val="009852B7"/>
    <w:rsid w:val="0099273E"/>
    <w:rsid w:val="00993B84"/>
    <w:rsid w:val="00996483"/>
    <w:rsid w:val="00996F5A"/>
    <w:rsid w:val="0099765D"/>
    <w:rsid w:val="009A34FE"/>
    <w:rsid w:val="009A35CC"/>
    <w:rsid w:val="009A4D73"/>
    <w:rsid w:val="009A63AD"/>
    <w:rsid w:val="009B041A"/>
    <w:rsid w:val="009B08DD"/>
    <w:rsid w:val="009B2DD5"/>
    <w:rsid w:val="009B3632"/>
    <w:rsid w:val="009B505B"/>
    <w:rsid w:val="009B6A24"/>
    <w:rsid w:val="009C37C3"/>
    <w:rsid w:val="009C7C86"/>
    <w:rsid w:val="009D2774"/>
    <w:rsid w:val="009D2FF7"/>
    <w:rsid w:val="009D3DF9"/>
    <w:rsid w:val="009D75A9"/>
    <w:rsid w:val="009E154E"/>
    <w:rsid w:val="009E1787"/>
    <w:rsid w:val="009E1848"/>
    <w:rsid w:val="009E2267"/>
    <w:rsid w:val="009E7884"/>
    <w:rsid w:val="009E788A"/>
    <w:rsid w:val="009E7B84"/>
    <w:rsid w:val="009F0513"/>
    <w:rsid w:val="009F0E08"/>
    <w:rsid w:val="009F0E53"/>
    <w:rsid w:val="009F1339"/>
    <w:rsid w:val="009F144E"/>
    <w:rsid w:val="009F310E"/>
    <w:rsid w:val="009F42AE"/>
    <w:rsid w:val="009F5AB6"/>
    <w:rsid w:val="00A0320E"/>
    <w:rsid w:val="00A07F5B"/>
    <w:rsid w:val="00A13526"/>
    <w:rsid w:val="00A14A52"/>
    <w:rsid w:val="00A1763D"/>
    <w:rsid w:val="00A17CEC"/>
    <w:rsid w:val="00A23377"/>
    <w:rsid w:val="00A2458F"/>
    <w:rsid w:val="00A27E1A"/>
    <w:rsid w:val="00A27EF0"/>
    <w:rsid w:val="00A3079F"/>
    <w:rsid w:val="00A33189"/>
    <w:rsid w:val="00A33F91"/>
    <w:rsid w:val="00A41EF2"/>
    <w:rsid w:val="00A42361"/>
    <w:rsid w:val="00A4303C"/>
    <w:rsid w:val="00A44A43"/>
    <w:rsid w:val="00A45522"/>
    <w:rsid w:val="00A472CB"/>
    <w:rsid w:val="00A50B20"/>
    <w:rsid w:val="00A51390"/>
    <w:rsid w:val="00A514E7"/>
    <w:rsid w:val="00A56006"/>
    <w:rsid w:val="00A575E6"/>
    <w:rsid w:val="00A57698"/>
    <w:rsid w:val="00A60D13"/>
    <w:rsid w:val="00A60D91"/>
    <w:rsid w:val="00A62F53"/>
    <w:rsid w:val="00A70C2A"/>
    <w:rsid w:val="00A7223D"/>
    <w:rsid w:val="00A72745"/>
    <w:rsid w:val="00A7526B"/>
    <w:rsid w:val="00A76694"/>
    <w:rsid w:val="00A76EFC"/>
    <w:rsid w:val="00A77817"/>
    <w:rsid w:val="00A87BFB"/>
    <w:rsid w:val="00A87D50"/>
    <w:rsid w:val="00A91010"/>
    <w:rsid w:val="00A91305"/>
    <w:rsid w:val="00A9293B"/>
    <w:rsid w:val="00A92959"/>
    <w:rsid w:val="00A94F52"/>
    <w:rsid w:val="00A97F29"/>
    <w:rsid w:val="00AA062E"/>
    <w:rsid w:val="00AA1760"/>
    <w:rsid w:val="00AA17E4"/>
    <w:rsid w:val="00AA215D"/>
    <w:rsid w:val="00AA2977"/>
    <w:rsid w:val="00AA2B58"/>
    <w:rsid w:val="00AA3AEE"/>
    <w:rsid w:val="00AA464B"/>
    <w:rsid w:val="00AA702E"/>
    <w:rsid w:val="00AA7D26"/>
    <w:rsid w:val="00AB0964"/>
    <w:rsid w:val="00AB34FB"/>
    <w:rsid w:val="00AB5011"/>
    <w:rsid w:val="00AB5546"/>
    <w:rsid w:val="00AB694F"/>
    <w:rsid w:val="00AC185E"/>
    <w:rsid w:val="00AC375E"/>
    <w:rsid w:val="00AC6339"/>
    <w:rsid w:val="00AC7368"/>
    <w:rsid w:val="00AC79C6"/>
    <w:rsid w:val="00AD0ED4"/>
    <w:rsid w:val="00AD16B9"/>
    <w:rsid w:val="00AD240A"/>
    <w:rsid w:val="00AD291B"/>
    <w:rsid w:val="00AD3053"/>
    <w:rsid w:val="00AD3C43"/>
    <w:rsid w:val="00AD5AF2"/>
    <w:rsid w:val="00AE00FE"/>
    <w:rsid w:val="00AE1144"/>
    <w:rsid w:val="00AE377D"/>
    <w:rsid w:val="00AE3A5F"/>
    <w:rsid w:val="00AE6154"/>
    <w:rsid w:val="00AE6D0B"/>
    <w:rsid w:val="00AF0EBA"/>
    <w:rsid w:val="00AF29ED"/>
    <w:rsid w:val="00AF46A7"/>
    <w:rsid w:val="00AF485B"/>
    <w:rsid w:val="00B0136B"/>
    <w:rsid w:val="00B0268A"/>
    <w:rsid w:val="00B02C8A"/>
    <w:rsid w:val="00B03766"/>
    <w:rsid w:val="00B04938"/>
    <w:rsid w:val="00B05B4E"/>
    <w:rsid w:val="00B11A40"/>
    <w:rsid w:val="00B128AD"/>
    <w:rsid w:val="00B13EB2"/>
    <w:rsid w:val="00B15837"/>
    <w:rsid w:val="00B17385"/>
    <w:rsid w:val="00B17FBD"/>
    <w:rsid w:val="00B204EC"/>
    <w:rsid w:val="00B3045A"/>
    <w:rsid w:val="00B30B7A"/>
    <w:rsid w:val="00B315A6"/>
    <w:rsid w:val="00B31813"/>
    <w:rsid w:val="00B33160"/>
    <w:rsid w:val="00B33365"/>
    <w:rsid w:val="00B336C5"/>
    <w:rsid w:val="00B34C25"/>
    <w:rsid w:val="00B4398E"/>
    <w:rsid w:val="00B43ACA"/>
    <w:rsid w:val="00B4471B"/>
    <w:rsid w:val="00B478AC"/>
    <w:rsid w:val="00B52832"/>
    <w:rsid w:val="00B579C3"/>
    <w:rsid w:val="00B57B36"/>
    <w:rsid w:val="00B57E6F"/>
    <w:rsid w:val="00B63A67"/>
    <w:rsid w:val="00B649DE"/>
    <w:rsid w:val="00B66CFD"/>
    <w:rsid w:val="00B6757B"/>
    <w:rsid w:val="00B72DFA"/>
    <w:rsid w:val="00B741FE"/>
    <w:rsid w:val="00B813A4"/>
    <w:rsid w:val="00B83288"/>
    <w:rsid w:val="00B844AE"/>
    <w:rsid w:val="00B84D30"/>
    <w:rsid w:val="00B8686D"/>
    <w:rsid w:val="00B9195F"/>
    <w:rsid w:val="00B937B8"/>
    <w:rsid w:val="00B938E4"/>
    <w:rsid w:val="00B93F69"/>
    <w:rsid w:val="00B962A0"/>
    <w:rsid w:val="00B9680D"/>
    <w:rsid w:val="00B975F5"/>
    <w:rsid w:val="00B978BB"/>
    <w:rsid w:val="00B97A05"/>
    <w:rsid w:val="00BA1D75"/>
    <w:rsid w:val="00BA6E42"/>
    <w:rsid w:val="00BA7B60"/>
    <w:rsid w:val="00BB1DDC"/>
    <w:rsid w:val="00BB2A95"/>
    <w:rsid w:val="00BB3478"/>
    <w:rsid w:val="00BB3E10"/>
    <w:rsid w:val="00BB5D9C"/>
    <w:rsid w:val="00BB7993"/>
    <w:rsid w:val="00BC30C9"/>
    <w:rsid w:val="00BC5226"/>
    <w:rsid w:val="00BC576B"/>
    <w:rsid w:val="00BC773D"/>
    <w:rsid w:val="00BD077D"/>
    <w:rsid w:val="00BD14C4"/>
    <w:rsid w:val="00BD49FA"/>
    <w:rsid w:val="00BD4A76"/>
    <w:rsid w:val="00BE03BE"/>
    <w:rsid w:val="00BE33B1"/>
    <w:rsid w:val="00BE3E58"/>
    <w:rsid w:val="00BE4AE4"/>
    <w:rsid w:val="00BE6053"/>
    <w:rsid w:val="00BE618A"/>
    <w:rsid w:val="00BF5658"/>
    <w:rsid w:val="00BF6CB3"/>
    <w:rsid w:val="00C00464"/>
    <w:rsid w:val="00C00FE4"/>
    <w:rsid w:val="00C01616"/>
    <w:rsid w:val="00C0162B"/>
    <w:rsid w:val="00C067F3"/>
    <w:rsid w:val="00C068ED"/>
    <w:rsid w:val="00C10659"/>
    <w:rsid w:val="00C11D11"/>
    <w:rsid w:val="00C125F4"/>
    <w:rsid w:val="00C14FD5"/>
    <w:rsid w:val="00C1722D"/>
    <w:rsid w:val="00C22E0C"/>
    <w:rsid w:val="00C2577F"/>
    <w:rsid w:val="00C26794"/>
    <w:rsid w:val="00C3199B"/>
    <w:rsid w:val="00C32AF2"/>
    <w:rsid w:val="00C345B1"/>
    <w:rsid w:val="00C36972"/>
    <w:rsid w:val="00C36CD2"/>
    <w:rsid w:val="00C40142"/>
    <w:rsid w:val="00C4259E"/>
    <w:rsid w:val="00C42B73"/>
    <w:rsid w:val="00C444D0"/>
    <w:rsid w:val="00C45EDB"/>
    <w:rsid w:val="00C465C5"/>
    <w:rsid w:val="00C4662C"/>
    <w:rsid w:val="00C47A1D"/>
    <w:rsid w:val="00C52A0E"/>
    <w:rsid w:val="00C52C3C"/>
    <w:rsid w:val="00C54223"/>
    <w:rsid w:val="00C57182"/>
    <w:rsid w:val="00C57863"/>
    <w:rsid w:val="00C57CDE"/>
    <w:rsid w:val="00C640AF"/>
    <w:rsid w:val="00C64862"/>
    <w:rsid w:val="00C655FD"/>
    <w:rsid w:val="00C70EB0"/>
    <w:rsid w:val="00C73F0D"/>
    <w:rsid w:val="00C75407"/>
    <w:rsid w:val="00C76428"/>
    <w:rsid w:val="00C80BD7"/>
    <w:rsid w:val="00C82157"/>
    <w:rsid w:val="00C84639"/>
    <w:rsid w:val="00C85035"/>
    <w:rsid w:val="00C8628A"/>
    <w:rsid w:val="00C870A8"/>
    <w:rsid w:val="00C92E4E"/>
    <w:rsid w:val="00C94434"/>
    <w:rsid w:val="00C95C65"/>
    <w:rsid w:val="00CA0D75"/>
    <w:rsid w:val="00CA0F3C"/>
    <w:rsid w:val="00CA1C95"/>
    <w:rsid w:val="00CA5A9C"/>
    <w:rsid w:val="00CB42FD"/>
    <w:rsid w:val="00CB69AA"/>
    <w:rsid w:val="00CB6BA4"/>
    <w:rsid w:val="00CB7F58"/>
    <w:rsid w:val="00CC1BE5"/>
    <w:rsid w:val="00CC234F"/>
    <w:rsid w:val="00CC3FBC"/>
    <w:rsid w:val="00CC4C20"/>
    <w:rsid w:val="00CC5BCC"/>
    <w:rsid w:val="00CC7F80"/>
    <w:rsid w:val="00CD1EEF"/>
    <w:rsid w:val="00CD3517"/>
    <w:rsid w:val="00CD4065"/>
    <w:rsid w:val="00CD57FA"/>
    <w:rsid w:val="00CD5FE2"/>
    <w:rsid w:val="00CD7833"/>
    <w:rsid w:val="00CE087F"/>
    <w:rsid w:val="00CE185F"/>
    <w:rsid w:val="00CE21F0"/>
    <w:rsid w:val="00CE243A"/>
    <w:rsid w:val="00CE420A"/>
    <w:rsid w:val="00CE42B6"/>
    <w:rsid w:val="00CE5862"/>
    <w:rsid w:val="00CE5AD5"/>
    <w:rsid w:val="00CE608E"/>
    <w:rsid w:val="00CE7A76"/>
    <w:rsid w:val="00CE7C68"/>
    <w:rsid w:val="00CF06C6"/>
    <w:rsid w:val="00CF4D95"/>
    <w:rsid w:val="00CF636B"/>
    <w:rsid w:val="00D00529"/>
    <w:rsid w:val="00D00542"/>
    <w:rsid w:val="00D02B4C"/>
    <w:rsid w:val="00D032CE"/>
    <w:rsid w:val="00D040C4"/>
    <w:rsid w:val="00D04988"/>
    <w:rsid w:val="00D10EEB"/>
    <w:rsid w:val="00D14CFB"/>
    <w:rsid w:val="00D162B6"/>
    <w:rsid w:val="00D16D12"/>
    <w:rsid w:val="00D17F89"/>
    <w:rsid w:val="00D20AD1"/>
    <w:rsid w:val="00D219B1"/>
    <w:rsid w:val="00D21EBA"/>
    <w:rsid w:val="00D273F7"/>
    <w:rsid w:val="00D37B33"/>
    <w:rsid w:val="00D41766"/>
    <w:rsid w:val="00D419FD"/>
    <w:rsid w:val="00D444B0"/>
    <w:rsid w:val="00D46B7E"/>
    <w:rsid w:val="00D479B2"/>
    <w:rsid w:val="00D50CE0"/>
    <w:rsid w:val="00D53211"/>
    <w:rsid w:val="00D53DD8"/>
    <w:rsid w:val="00D57B6C"/>
    <w:rsid w:val="00D57C84"/>
    <w:rsid w:val="00D6057D"/>
    <w:rsid w:val="00D605D5"/>
    <w:rsid w:val="00D60AF7"/>
    <w:rsid w:val="00D63535"/>
    <w:rsid w:val="00D6531F"/>
    <w:rsid w:val="00D65BCA"/>
    <w:rsid w:val="00D665ED"/>
    <w:rsid w:val="00D70D6D"/>
    <w:rsid w:val="00D71640"/>
    <w:rsid w:val="00D8154B"/>
    <w:rsid w:val="00D836C5"/>
    <w:rsid w:val="00D84576"/>
    <w:rsid w:val="00D95F76"/>
    <w:rsid w:val="00DA0D8B"/>
    <w:rsid w:val="00DA1399"/>
    <w:rsid w:val="00DA237C"/>
    <w:rsid w:val="00DA24C6"/>
    <w:rsid w:val="00DA4D7B"/>
    <w:rsid w:val="00DA50A0"/>
    <w:rsid w:val="00DA59E6"/>
    <w:rsid w:val="00DA6B57"/>
    <w:rsid w:val="00DB0152"/>
    <w:rsid w:val="00DB28B4"/>
    <w:rsid w:val="00DB591F"/>
    <w:rsid w:val="00DC111F"/>
    <w:rsid w:val="00DC5DDC"/>
    <w:rsid w:val="00DD271C"/>
    <w:rsid w:val="00DE264A"/>
    <w:rsid w:val="00DF3878"/>
    <w:rsid w:val="00DF5072"/>
    <w:rsid w:val="00DF5746"/>
    <w:rsid w:val="00E01997"/>
    <w:rsid w:val="00E02D18"/>
    <w:rsid w:val="00E03A05"/>
    <w:rsid w:val="00E041E7"/>
    <w:rsid w:val="00E056BF"/>
    <w:rsid w:val="00E10F24"/>
    <w:rsid w:val="00E10FBA"/>
    <w:rsid w:val="00E20128"/>
    <w:rsid w:val="00E226E8"/>
    <w:rsid w:val="00E23CA1"/>
    <w:rsid w:val="00E24A0E"/>
    <w:rsid w:val="00E31A87"/>
    <w:rsid w:val="00E32B1B"/>
    <w:rsid w:val="00E409A8"/>
    <w:rsid w:val="00E414CF"/>
    <w:rsid w:val="00E41966"/>
    <w:rsid w:val="00E503E9"/>
    <w:rsid w:val="00E50C12"/>
    <w:rsid w:val="00E5210E"/>
    <w:rsid w:val="00E55074"/>
    <w:rsid w:val="00E57B99"/>
    <w:rsid w:val="00E65B91"/>
    <w:rsid w:val="00E67621"/>
    <w:rsid w:val="00E7209D"/>
    <w:rsid w:val="00E72EAD"/>
    <w:rsid w:val="00E73561"/>
    <w:rsid w:val="00E74BA3"/>
    <w:rsid w:val="00E767AE"/>
    <w:rsid w:val="00E77223"/>
    <w:rsid w:val="00E80F5F"/>
    <w:rsid w:val="00E83495"/>
    <w:rsid w:val="00E84159"/>
    <w:rsid w:val="00E8528B"/>
    <w:rsid w:val="00E85B8C"/>
    <w:rsid w:val="00E85B94"/>
    <w:rsid w:val="00E86995"/>
    <w:rsid w:val="00E90250"/>
    <w:rsid w:val="00E9599D"/>
    <w:rsid w:val="00E96851"/>
    <w:rsid w:val="00E978D0"/>
    <w:rsid w:val="00EA4613"/>
    <w:rsid w:val="00EA7F91"/>
    <w:rsid w:val="00EB11B3"/>
    <w:rsid w:val="00EB1523"/>
    <w:rsid w:val="00EB1688"/>
    <w:rsid w:val="00EB4B48"/>
    <w:rsid w:val="00EC0D25"/>
    <w:rsid w:val="00EC0E49"/>
    <w:rsid w:val="00EC101F"/>
    <w:rsid w:val="00EC1D9F"/>
    <w:rsid w:val="00EC4790"/>
    <w:rsid w:val="00EC52F2"/>
    <w:rsid w:val="00EC6A14"/>
    <w:rsid w:val="00ED1642"/>
    <w:rsid w:val="00ED4798"/>
    <w:rsid w:val="00ED4E28"/>
    <w:rsid w:val="00EE0131"/>
    <w:rsid w:val="00EE0328"/>
    <w:rsid w:val="00EE06AF"/>
    <w:rsid w:val="00EE1398"/>
    <w:rsid w:val="00EE17B0"/>
    <w:rsid w:val="00EE3187"/>
    <w:rsid w:val="00EE33E1"/>
    <w:rsid w:val="00EF06D9"/>
    <w:rsid w:val="00EF630C"/>
    <w:rsid w:val="00F0119E"/>
    <w:rsid w:val="00F01F39"/>
    <w:rsid w:val="00F01FF6"/>
    <w:rsid w:val="00F025C9"/>
    <w:rsid w:val="00F034FC"/>
    <w:rsid w:val="00F13F2D"/>
    <w:rsid w:val="00F166E6"/>
    <w:rsid w:val="00F20B94"/>
    <w:rsid w:val="00F22089"/>
    <w:rsid w:val="00F3049E"/>
    <w:rsid w:val="00F30C64"/>
    <w:rsid w:val="00F30D6C"/>
    <w:rsid w:val="00F30D79"/>
    <w:rsid w:val="00F3290F"/>
    <w:rsid w:val="00F32BA2"/>
    <w:rsid w:val="00F32CDB"/>
    <w:rsid w:val="00F32D26"/>
    <w:rsid w:val="00F33510"/>
    <w:rsid w:val="00F354D2"/>
    <w:rsid w:val="00F367B1"/>
    <w:rsid w:val="00F427AD"/>
    <w:rsid w:val="00F42A9C"/>
    <w:rsid w:val="00F437ED"/>
    <w:rsid w:val="00F50956"/>
    <w:rsid w:val="00F539C6"/>
    <w:rsid w:val="00F565FE"/>
    <w:rsid w:val="00F576B2"/>
    <w:rsid w:val="00F576E7"/>
    <w:rsid w:val="00F63A70"/>
    <w:rsid w:val="00F63D8C"/>
    <w:rsid w:val="00F6780D"/>
    <w:rsid w:val="00F71A09"/>
    <w:rsid w:val="00F72B71"/>
    <w:rsid w:val="00F7495A"/>
    <w:rsid w:val="00F7534E"/>
    <w:rsid w:val="00F75806"/>
    <w:rsid w:val="00F81E0A"/>
    <w:rsid w:val="00F87B09"/>
    <w:rsid w:val="00F93EDF"/>
    <w:rsid w:val="00F94BB1"/>
    <w:rsid w:val="00F96A29"/>
    <w:rsid w:val="00FA05EE"/>
    <w:rsid w:val="00FA1802"/>
    <w:rsid w:val="00FA21D0"/>
    <w:rsid w:val="00FA2C32"/>
    <w:rsid w:val="00FA35C3"/>
    <w:rsid w:val="00FA5F5F"/>
    <w:rsid w:val="00FA7355"/>
    <w:rsid w:val="00FB3FC8"/>
    <w:rsid w:val="00FB730C"/>
    <w:rsid w:val="00FB76D0"/>
    <w:rsid w:val="00FC2695"/>
    <w:rsid w:val="00FC3E03"/>
    <w:rsid w:val="00FC3FC1"/>
    <w:rsid w:val="00FC44E2"/>
    <w:rsid w:val="00FD2802"/>
    <w:rsid w:val="00FD31EE"/>
    <w:rsid w:val="00FD33F0"/>
    <w:rsid w:val="00FE0342"/>
    <w:rsid w:val="00FE3EE2"/>
    <w:rsid w:val="00FE5A65"/>
    <w:rsid w:val="00FE5FA4"/>
    <w:rsid w:val="00FE7282"/>
    <w:rsid w:val="00FF2C11"/>
    <w:rsid w:val="00FF49FB"/>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5:docId w15:val="{DDD9E351-BFE4-4F31-9319-BC6EDAE07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ET Top_page"/>
    <w:rsid w:val="00E83495"/>
    <w:pPr>
      <w:tabs>
        <w:tab w:val="right" w:pos="7100"/>
      </w:tabs>
      <w:spacing w:after="0" w:line="264" w:lineRule="auto"/>
      <w:jc w:val="both"/>
    </w:pPr>
    <w:rPr>
      <w:rFonts w:ascii="Arial" w:eastAsia="Times New Roman" w:hAnsi="Arial" w:cs="Times New Roman"/>
      <w:sz w:val="18"/>
      <w:szCs w:val="20"/>
      <w:lang w:val="en-GB"/>
    </w:rPr>
  </w:style>
  <w:style w:type="paragraph" w:styleId="Ttulo1">
    <w:name w:val="heading 1"/>
    <w:basedOn w:val="CETHeading1"/>
    <w:next w:val="Normal"/>
    <w:link w:val="Ttulo1Car"/>
    <w:uiPriority w:val="9"/>
    <w:rsid w:val="004F5E36"/>
    <w:pPr>
      <w:tabs>
        <w:tab w:val="right" w:pos="7100"/>
      </w:tabs>
      <w:jc w:val="both"/>
      <w:outlineLvl w:val="0"/>
    </w:pPr>
    <w:rPr>
      <w:lang w:val="en-GB"/>
    </w:rPr>
  </w:style>
  <w:style w:type="paragraph" w:styleId="Ttulo2">
    <w:name w:val="heading 2"/>
    <w:basedOn w:val="Normal"/>
    <w:next w:val="Normal"/>
    <w:link w:val="Ttulo2C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absica1">
    <w:name w:val="Table Simple 1"/>
    <w:basedOn w:val="Tabla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efdecomentario">
    <w:name w:val="annotation reference"/>
    <w:basedOn w:val="Fuentedeprrafopredeter"/>
    <w:uiPriority w:val="99"/>
    <w:semiHidden/>
    <w:unhideWhenUsed/>
    <w:rsid w:val="004577FE"/>
    <w:rPr>
      <w:sz w:val="16"/>
      <w:szCs w:val="16"/>
    </w:rPr>
  </w:style>
  <w:style w:type="paragraph" w:styleId="Textodeglobo">
    <w:name w:val="Balloon Text"/>
    <w:basedOn w:val="Normal"/>
    <w:link w:val="TextodegloboCar"/>
    <w:uiPriority w:val="99"/>
    <w:semiHidden/>
    <w:unhideWhenUsed/>
    <w:rsid w:val="000D34BE"/>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D34BE"/>
    <w:rPr>
      <w:rFonts w:ascii="Tahoma" w:hAnsi="Tahoma" w:cs="Tahoma"/>
      <w:sz w:val="16"/>
      <w:szCs w:val="16"/>
    </w:rPr>
  </w:style>
  <w:style w:type="paragraph" w:styleId="Bibliografa">
    <w:name w:val="Bibliography"/>
    <w:basedOn w:val="CETReferencetext"/>
    <w:uiPriority w:val="37"/>
    <w:unhideWhenUsed/>
    <w:rsid w:val="00631B33"/>
    <w:pPr>
      <w:spacing w:line="240" w:lineRule="auto"/>
      <w:ind w:left="720" w:hanging="720"/>
    </w:pPr>
  </w:style>
  <w:style w:type="paragraph" w:styleId="Textoindependiente2">
    <w:name w:val="Body Text 2"/>
    <w:basedOn w:val="Normal"/>
    <w:link w:val="Textoindependiente2Car"/>
    <w:uiPriority w:val="99"/>
    <w:semiHidden/>
    <w:unhideWhenUsed/>
    <w:rsid w:val="0003148D"/>
    <w:pPr>
      <w:spacing w:after="120" w:line="480" w:lineRule="auto"/>
    </w:pPr>
  </w:style>
  <w:style w:type="character" w:customStyle="1" w:styleId="Textoindependiente2Car">
    <w:name w:val="Texto independiente 2 Car"/>
    <w:basedOn w:val="Fuentedeprrafopredeter"/>
    <w:link w:val="Textoindependiente2"/>
    <w:uiPriority w:val="99"/>
    <w:semiHidden/>
    <w:rsid w:val="0003148D"/>
  </w:style>
  <w:style w:type="paragraph" w:styleId="Textoindependiente3">
    <w:name w:val="Body Text 3"/>
    <w:basedOn w:val="Normal"/>
    <w:link w:val="Textoindependiente3Car"/>
    <w:uiPriority w:val="99"/>
    <w:semiHidden/>
    <w:unhideWhenUsed/>
    <w:rsid w:val="0003148D"/>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03148D"/>
    <w:rPr>
      <w:sz w:val="16"/>
      <w:szCs w:val="16"/>
    </w:rPr>
  </w:style>
  <w:style w:type="paragraph" w:styleId="Textoindependiente">
    <w:name w:val="Body Text"/>
    <w:basedOn w:val="Normal"/>
    <w:link w:val="TextoindependienteCar"/>
    <w:uiPriority w:val="99"/>
    <w:semiHidden/>
    <w:unhideWhenUsed/>
    <w:rsid w:val="0003148D"/>
    <w:pPr>
      <w:spacing w:after="120"/>
    </w:pPr>
  </w:style>
  <w:style w:type="character" w:customStyle="1" w:styleId="TextoindependienteCar">
    <w:name w:val="Texto independiente Car"/>
    <w:basedOn w:val="Fuentedeprrafopredeter"/>
    <w:link w:val="Textoindependiente"/>
    <w:uiPriority w:val="99"/>
    <w:semiHidden/>
    <w:rsid w:val="0003148D"/>
  </w:style>
  <w:style w:type="paragraph" w:styleId="Fecha">
    <w:name w:val="Date"/>
    <w:basedOn w:val="Normal"/>
    <w:next w:val="Normal"/>
    <w:link w:val="FechaCar"/>
    <w:uiPriority w:val="99"/>
    <w:semiHidden/>
    <w:unhideWhenUsed/>
    <w:rsid w:val="0003148D"/>
  </w:style>
  <w:style w:type="character" w:customStyle="1" w:styleId="FechaCar">
    <w:name w:val="Fecha Car"/>
    <w:basedOn w:val="Fuentedeprrafopredeter"/>
    <w:link w:val="Fecha"/>
    <w:uiPriority w:val="99"/>
    <w:semiHidden/>
    <w:rsid w:val="0003148D"/>
  </w:style>
  <w:style w:type="paragraph" w:styleId="Descripcin">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a">
    <w:name w:val="List"/>
    <w:basedOn w:val="Normal"/>
    <w:uiPriority w:val="99"/>
    <w:semiHidden/>
    <w:unhideWhenUsed/>
    <w:rsid w:val="0003148D"/>
    <w:pPr>
      <w:ind w:left="283" w:hanging="283"/>
      <w:contextualSpacing/>
    </w:pPr>
  </w:style>
  <w:style w:type="paragraph" w:styleId="Lista2">
    <w:name w:val="List 2"/>
    <w:basedOn w:val="Normal"/>
    <w:uiPriority w:val="99"/>
    <w:semiHidden/>
    <w:unhideWhenUsed/>
    <w:rsid w:val="0003148D"/>
    <w:pPr>
      <w:ind w:left="566" w:hanging="283"/>
      <w:contextualSpacing/>
    </w:pPr>
  </w:style>
  <w:style w:type="paragraph" w:styleId="Lista3">
    <w:name w:val="List 3"/>
    <w:basedOn w:val="Normal"/>
    <w:uiPriority w:val="99"/>
    <w:semiHidden/>
    <w:unhideWhenUsed/>
    <w:rsid w:val="0003148D"/>
    <w:pPr>
      <w:ind w:left="849" w:hanging="283"/>
      <w:contextualSpacing/>
    </w:pPr>
  </w:style>
  <w:style w:type="paragraph" w:styleId="Lista4">
    <w:name w:val="List 4"/>
    <w:basedOn w:val="Normal"/>
    <w:uiPriority w:val="99"/>
    <w:semiHidden/>
    <w:unhideWhenUsed/>
    <w:rsid w:val="0003148D"/>
    <w:pPr>
      <w:ind w:left="1132" w:hanging="283"/>
      <w:contextualSpacing/>
    </w:pPr>
  </w:style>
  <w:style w:type="paragraph" w:styleId="Lista5">
    <w:name w:val="List 5"/>
    <w:basedOn w:val="Normal"/>
    <w:uiPriority w:val="99"/>
    <w:semiHidden/>
    <w:unhideWhenUsed/>
    <w:rsid w:val="0003148D"/>
    <w:pPr>
      <w:ind w:left="1415" w:hanging="283"/>
      <w:contextualSpacing/>
    </w:pPr>
  </w:style>
  <w:style w:type="paragraph" w:styleId="Continuarlista">
    <w:name w:val="List Continue"/>
    <w:basedOn w:val="Normal"/>
    <w:uiPriority w:val="99"/>
    <w:semiHidden/>
    <w:unhideWhenUsed/>
    <w:rsid w:val="0003148D"/>
    <w:pPr>
      <w:spacing w:after="120"/>
      <w:ind w:left="283"/>
      <w:contextualSpacing/>
    </w:pPr>
  </w:style>
  <w:style w:type="paragraph" w:styleId="Continuarlista2">
    <w:name w:val="List Continue 2"/>
    <w:basedOn w:val="Normal"/>
    <w:uiPriority w:val="99"/>
    <w:semiHidden/>
    <w:unhideWhenUsed/>
    <w:rsid w:val="0003148D"/>
    <w:pPr>
      <w:spacing w:after="120"/>
      <w:ind w:left="566"/>
      <w:contextualSpacing/>
    </w:pPr>
  </w:style>
  <w:style w:type="paragraph" w:styleId="Continuarlista3">
    <w:name w:val="List Continue 3"/>
    <w:basedOn w:val="Normal"/>
    <w:uiPriority w:val="99"/>
    <w:semiHidden/>
    <w:unhideWhenUsed/>
    <w:rsid w:val="0003148D"/>
    <w:pPr>
      <w:spacing w:after="120"/>
      <w:ind w:left="849"/>
      <w:contextualSpacing/>
    </w:pPr>
  </w:style>
  <w:style w:type="paragraph" w:styleId="Continuarlista4">
    <w:name w:val="List Continue 4"/>
    <w:basedOn w:val="Normal"/>
    <w:uiPriority w:val="99"/>
    <w:semiHidden/>
    <w:unhideWhenUsed/>
    <w:rsid w:val="0003148D"/>
    <w:pPr>
      <w:spacing w:after="120"/>
      <w:ind w:left="1132"/>
      <w:contextualSpacing/>
    </w:pPr>
  </w:style>
  <w:style w:type="paragraph" w:styleId="Continuarlista5">
    <w:name w:val="List Continue 5"/>
    <w:basedOn w:val="Normal"/>
    <w:uiPriority w:val="99"/>
    <w:semiHidden/>
    <w:unhideWhenUsed/>
    <w:rsid w:val="0003148D"/>
    <w:pPr>
      <w:spacing w:after="120"/>
      <w:ind w:left="1415"/>
      <w:contextualSpacing/>
    </w:pPr>
  </w:style>
  <w:style w:type="paragraph" w:styleId="Firma">
    <w:name w:val="Signature"/>
    <w:basedOn w:val="Normal"/>
    <w:link w:val="FirmaCar"/>
    <w:uiPriority w:val="99"/>
    <w:semiHidden/>
    <w:unhideWhenUsed/>
    <w:rsid w:val="0003148D"/>
    <w:pPr>
      <w:spacing w:line="240" w:lineRule="auto"/>
      <w:ind w:left="4252"/>
    </w:pPr>
  </w:style>
  <w:style w:type="character" w:customStyle="1" w:styleId="FirmaCar">
    <w:name w:val="Firma Car"/>
    <w:basedOn w:val="Fuentedeprrafopredeter"/>
    <w:link w:val="Firma"/>
    <w:uiPriority w:val="99"/>
    <w:semiHidden/>
    <w:rsid w:val="0003148D"/>
  </w:style>
  <w:style w:type="paragraph" w:styleId="Firmadecorreoelectrnico">
    <w:name w:val="E-mail Signature"/>
    <w:basedOn w:val="Normal"/>
    <w:link w:val="FirmadecorreoelectrnicoCar"/>
    <w:uiPriority w:val="99"/>
    <w:semiHidden/>
    <w:unhideWhenUsed/>
    <w:rsid w:val="0003148D"/>
    <w:pPr>
      <w:spacing w:line="240" w:lineRule="auto"/>
    </w:pPr>
  </w:style>
  <w:style w:type="character" w:customStyle="1" w:styleId="FirmadecorreoelectrnicoCar">
    <w:name w:val="Firma de correo electrónico Car"/>
    <w:basedOn w:val="Fuentedeprrafopredeter"/>
    <w:link w:val="Firmadecorreoelectrnico"/>
    <w:uiPriority w:val="99"/>
    <w:semiHidden/>
    <w:rsid w:val="0003148D"/>
  </w:style>
  <w:style w:type="paragraph" w:styleId="Saludo">
    <w:name w:val="Salutation"/>
    <w:basedOn w:val="Normal"/>
    <w:next w:val="Normal"/>
    <w:link w:val="SaludoCar"/>
    <w:uiPriority w:val="99"/>
    <w:semiHidden/>
    <w:unhideWhenUsed/>
    <w:rsid w:val="0003148D"/>
  </w:style>
  <w:style w:type="character" w:customStyle="1" w:styleId="SaludoCar">
    <w:name w:val="Saludo Car"/>
    <w:basedOn w:val="Fuentedeprrafopredeter"/>
    <w:link w:val="Saludo"/>
    <w:uiPriority w:val="99"/>
    <w:semiHidden/>
    <w:rsid w:val="0003148D"/>
  </w:style>
  <w:style w:type="paragraph" w:styleId="Cierre">
    <w:name w:val="Closing"/>
    <w:basedOn w:val="Normal"/>
    <w:link w:val="CierreCar"/>
    <w:uiPriority w:val="99"/>
    <w:semiHidden/>
    <w:unhideWhenUsed/>
    <w:rsid w:val="0003148D"/>
    <w:pPr>
      <w:spacing w:line="240" w:lineRule="auto"/>
      <w:ind w:left="4252"/>
    </w:pPr>
  </w:style>
  <w:style w:type="character" w:customStyle="1" w:styleId="CierreCar">
    <w:name w:val="Cierre Car"/>
    <w:basedOn w:val="Fuentedeprrafopredeter"/>
    <w:link w:val="Cierre"/>
    <w:uiPriority w:val="99"/>
    <w:semiHidden/>
    <w:rsid w:val="0003148D"/>
  </w:style>
  <w:style w:type="paragraph" w:styleId="ndice1">
    <w:name w:val="index 1"/>
    <w:basedOn w:val="Normal"/>
    <w:next w:val="Normal"/>
    <w:autoRedefine/>
    <w:uiPriority w:val="99"/>
    <w:semiHidden/>
    <w:unhideWhenUsed/>
    <w:rsid w:val="0003148D"/>
    <w:pPr>
      <w:spacing w:line="240" w:lineRule="auto"/>
      <w:ind w:left="220" w:hanging="220"/>
    </w:pPr>
  </w:style>
  <w:style w:type="paragraph" w:styleId="ndice2">
    <w:name w:val="index 2"/>
    <w:basedOn w:val="Normal"/>
    <w:next w:val="Normal"/>
    <w:autoRedefine/>
    <w:uiPriority w:val="99"/>
    <w:semiHidden/>
    <w:unhideWhenUsed/>
    <w:rsid w:val="0003148D"/>
    <w:pPr>
      <w:spacing w:line="240" w:lineRule="auto"/>
      <w:ind w:left="440" w:hanging="220"/>
    </w:pPr>
  </w:style>
  <w:style w:type="paragraph" w:styleId="ndice3">
    <w:name w:val="index 3"/>
    <w:basedOn w:val="Normal"/>
    <w:next w:val="Normal"/>
    <w:autoRedefine/>
    <w:uiPriority w:val="99"/>
    <w:semiHidden/>
    <w:unhideWhenUsed/>
    <w:rsid w:val="0003148D"/>
    <w:pPr>
      <w:spacing w:line="240" w:lineRule="auto"/>
      <w:ind w:left="660" w:hanging="220"/>
    </w:pPr>
  </w:style>
  <w:style w:type="paragraph" w:styleId="ndice4">
    <w:name w:val="index 4"/>
    <w:basedOn w:val="Normal"/>
    <w:next w:val="Normal"/>
    <w:autoRedefine/>
    <w:uiPriority w:val="99"/>
    <w:semiHidden/>
    <w:unhideWhenUsed/>
    <w:rsid w:val="0003148D"/>
    <w:pPr>
      <w:spacing w:line="240" w:lineRule="auto"/>
      <w:ind w:left="880" w:hanging="220"/>
    </w:pPr>
  </w:style>
  <w:style w:type="paragraph" w:styleId="ndice5">
    <w:name w:val="index 5"/>
    <w:basedOn w:val="Normal"/>
    <w:next w:val="Normal"/>
    <w:autoRedefine/>
    <w:uiPriority w:val="99"/>
    <w:semiHidden/>
    <w:unhideWhenUsed/>
    <w:rsid w:val="0003148D"/>
    <w:pPr>
      <w:spacing w:line="240" w:lineRule="auto"/>
      <w:ind w:left="1100" w:hanging="220"/>
    </w:pPr>
  </w:style>
  <w:style w:type="paragraph" w:styleId="ndice6">
    <w:name w:val="index 6"/>
    <w:basedOn w:val="Normal"/>
    <w:next w:val="Normal"/>
    <w:autoRedefine/>
    <w:uiPriority w:val="99"/>
    <w:semiHidden/>
    <w:unhideWhenUsed/>
    <w:rsid w:val="0003148D"/>
    <w:pPr>
      <w:spacing w:line="240" w:lineRule="auto"/>
      <w:ind w:left="1320" w:hanging="220"/>
    </w:pPr>
  </w:style>
  <w:style w:type="paragraph" w:styleId="ndice7">
    <w:name w:val="index 7"/>
    <w:basedOn w:val="Normal"/>
    <w:next w:val="Normal"/>
    <w:autoRedefine/>
    <w:uiPriority w:val="99"/>
    <w:semiHidden/>
    <w:unhideWhenUsed/>
    <w:rsid w:val="0003148D"/>
    <w:pPr>
      <w:spacing w:line="240" w:lineRule="auto"/>
      <w:ind w:left="1540" w:hanging="220"/>
    </w:pPr>
  </w:style>
  <w:style w:type="paragraph" w:styleId="ndice8">
    <w:name w:val="index 8"/>
    <w:basedOn w:val="Normal"/>
    <w:next w:val="Normal"/>
    <w:autoRedefine/>
    <w:uiPriority w:val="99"/>
    <w:semiHidden/>
    <w:unhideWhenUsed/>
    <w:rsid w:val="0003148D"/>
    <w:pPr>
      <w:spacing w:line="240" w:lineRule="auto"/>
      <w:ind w:left="1760" w:hanging="220"/>
    </w:pPr>
  </w:style>
  <w:style w:type="paragraph" w:styleId="ndice9">
    <w:name w:val="index 9"/>
    <w:basedOn w:val="Normal"/>
    <w:next w:val="Normal"/>
    <w:autoRedefine/>
    <w:uiPriority w:val="99"/>
    <w:semiHidden/>
    <w:unhideWhenUsed/>
    <w:rsid w:val="0003148D"/>
    <w:pPr>
      <w:spacing w:line="240" w:lineRule="auto"/>
      <w:ind w:left="1980" w:hanging="220"/>
    </w:pPr>
  </w:style>
  <w:style w:type="paragraph" w:styleId="Tabladeilustraciones">
    <w:name w:val="table of figures"/>
    <w:basedOn w:val="Normal"/>
    <w:next w:val="Normal"/>
    <w:uiPriority w:val="99"/>
    <w:semiHidden/>
    <w:unhideWhenUsed/>
    <w:rsid w:val="0003148D"/>
  </w:style>
  <w:style w:type="paragraph" w:styleId="Textoconsangra">
    <w:name w:val="table of authorities"/>
    <w:basedOn w:val="Normal"/>
    <w:next w:val="Normal"/>
    <w:uiPriority w:val="99"/>
    <w:semiHidden/>
    <w:unhideWhenUsed/>
    <w:rsid w:val="0003148D"/>
    <w:pPr>
      <w:ind w:left="220" w:hanging="220"/>
    </w:pPr>
  </w:style>
  <w:style w:type="paragraph" w:styleId="Direccinsobre">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DireccinHTML">
    <w:name w:val="HTML Address"/>
    <w:basedOn w:val="Normal"/>
    <w:link w:val="DireccinHTMLCar"/>
    <w:uiPriority w:val="99"/>
    <w:semiHidden/>
    <w:unhideWhenUsed/>
    <w:rsid w:val="0003148D"/>
    <w:pPr>
      <w:spacing w:line="240" w:lineRule="auto"/>
    </w:pPr>
    <w:rPr>
      <w:i/>
      <w:iCs/>
    </w:rPr>
  </w:style>
  <w:style w:type="character" w:customStyle="1" w:styleId="DireccinHTMLCar">
    <w:name w:val="Dirección HTML Car"/>
    <w:basedOn w:val="Fuentedeprrafopredeter"/>
    <w:link w:val="DireccinHTML"/>
    <w:uiPriority w:val="99"/>
    <w:semiHidden/>
    <w:rsid w:val="0003148D"/>
    <w:rPr>
      <w:i/>
      <w:iCs/>
    </w:rPr>
  </w:style>
  <w:style w:type="paragraph" w:styleId="Remitedesobre">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Encabezadodemensaje">
    <w:name w:val="Message Header"/>
    <w:basedOn w:val="Normal"/>
    <w:link w:val="EncabezadodemensajeC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semiHidden/>
    <w:rsid w:val="0003148D"/>
    <w:rPr>
      <w:rFonts w:asciiTheme="majorHAnsi" w:eastAsiaTheme="majorEastAsia" w:hAnsiTheme="majorHAnsi" w:cstheme="majorBidi"/>
      <w:sz w:val="24"/>
      <w:szCs w:val="24"/>
      <w:shd w:val="pct20" w:color="auto" w:fill="auto"/>
    </w:rPr>
  </w:style>
  <w:style w:type="paragraph" w:styleId="Encabezadodenota">
    <w:name w:val="Note Heading"/>
    <w:basedOn w:val="Normal"/>
    <w:next w:val="Normal"/>
    <w:link w:val="EncabezadodenotaCar"/>
    <w:uiPriority w:val="99"/>
    <w:semiHidden/>
    <w:unhideWhenUsed/>
    <w:rsid w:val="0003148D"/>
    <w:pPr>
      <w:spacing w:line="240" w:lineRule="auto"/>
    </w:pPr>
  </w:style>
  <w:style w:type="character" w:customStyle="1" w:styleId="EncabezadodenotaCar">
    <w:name w:val="Encabezado de nota Car"/>
    <w:basedOn w:val="Fuentedeprrafopredeter"/>
    <w:link w:val="Encabezadodenota"/>
    <w:uiPriority w:val="99"/>
    <w:semiHidden/>
    <w:rsid w:val="0003148D"/>
  </w:style>
  <w:style w:type="paragraph" w:styleId="Mapadeldocumento">
    <w:name w:val="Document Map"/>
    <w:basedOn w:val="Normal"/>
    <w:link w:val="MapadeldocumentoCar"/>
    <w:uiPriority w:val="99"/>
    <w:semiHidden/>
    <w:unhideWhenUsed/>
    <w:rsid w:val="0003148D"/>
    <w:pPr>
      <w:spacing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aconnmeros">
    <w:name w:val="List Number"/>
    <w:basedOn w:val="Normal"/>
    <w:uiPriority w:val="99"/>
    <w:semiHidden/>
    <w:unhideWhenUsed/>
    <w:rsid w:val="0003148D"/>
    <w:pPr>
      <w:numPr>
        <w:numId w:val="2"/>
      </w:numPr>
      <w:contextualSpacing/>
    </w:pPr>
  </w:style>
  <w:style w:type="paragraph" w:styleId="Listaconnmeros2">
    <w:name w:val="List Number 2"/>
    <w:basedOn w:val="Normal"/>
    <w:uiPriority w:val="99"/>
    <w:semiHidden/>
    <w:unhideWhenUsed/>
    <w:rsid w:val="0003148D"/>
    <w:pPr>
      <w:numPr>
        <w:numId w:val="3"/>
      </w:numPr>
      <w:contextualSpacing/>
    </w:pPr>
  </w:style>
  <w:style w:type="paragraph" w:styleId="Listaconnmeros3">
    <w:name w:val="List Number 3"/>
    <w:basedOn w:val="Normal"/>
    <w:uiPriority w:val="99"/>
    <w:semiHidden/>
    <w:unhideWhenUsed/>
    <w:rsid w:val="0003148D"/>
    <w:pPr>
      <w:numPr>
        <w:numId w:val="4"/>
      </w:numPr>
      <w:contextualSpacing/>
    </w:pPr>
  </w:style>
  <w:style w:type="paragraph" w:styleId="Listaconnmeros4">
    <w:name w:val="List Number 4"/>
    <w:basedOn w:val="Normal"/>
    <w:uiPriority w:val="99"/>
    <w:semiHidden/>
    <w:unhideWhenUsed/>
    <w:rsid w:val="0003148D"/>
    <w:pPr>
      <w:numPr>
        <w:numId w:val="5"/>
      </w:numPr>
      <w:contextualSpacing/>
    </w:pPr>
  </w:style>
  <w:style w:type="paragraph" w:styleId="Listaconnmeros5">
    <w:name w:val="List Number 5"/>
    <w:basedOn w:val="Normal"/>
    <w:uiPriority w:val="99"/>
    <w:semiHidden/>
    <w:unhideWhenUsed/>
    <w:rsid w:val="0003148D"/>
    <w:pPr>
      <w:numPr>
        <w:numId w:val="6"/>
      </w:numPr>
      <w:contextualSpacing/>
    </w:pPr>
  </w:style>
  <w:style w:type="paragraph" w:styleId="HTMLconformatoprevio">
    <w:name w:val="HTML Preformatted"/>
    <w:basedOn w:val="Normal"/>
    <w:link w:val="HTMLconformatoprevioCar"/>
    <w:uiPriority w:val="99"/>
    <w:semiHidden/>
    <w:unhideWhenUsed/>
    <w:rsid w:val="0003148D"/>
    <w:pPr>
      <w:spacing w:line="240" w:lineRule="auto"/>
    </w:pPr>
    <w:rPr>
      <w:rFonts w:ascii="Consolas" w:hAnsi="Consolas" w:cs="Consolas"/>
    </w:rPr>
  </w:style>
  <w:style w:type="character" w:customStyle="1" w:styleId="HTMLconformatoprevioCar">
    <w:name w:val="HTML con formato previo Car"/>
    <w:basedOn w:val="Fuentedeprrafopredeter"/>
    <w:link w:val="HTMLconformatoprevio"/>
    <w:uiPriority w:val="99"/>
    <w:semiHidden/>
    <w:rsid w:val="0003148D"/>
    <w:rPr>
      <w:rFonts w:ascii="Consolas" w:hAnsi="Consolas" w:cs="Consolas"/>
      <w:sz w:val="20"/>
      <w:szCs w:val="20"/>
    </w:rPr>
  </w:style>
  <w:style w:type="paragraph" w:styleId="Textoindependienteprimerasangra">
    <w:name w:val="Body Text First Indent"/>
    <w:basedOn w:val="Textoindependiente"/>
    <w:link w:val="TextoindependienteprimerasangraCar"/>
    <w:uiPriority w:val="99"/>
    <w:semiHidden/>
    <w:unhideWhenUsed/>
    <w:rsid w:val="0003148D"/>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semiHidden/>
    <w:rsid w:val="0003148D"/>
  </w:style>
  <w:style w:type="paragraph" w:styleId="Sangradetextonormal">
    <w:name w:val="Body Text Indent"/>
    <w:basedOn w:val="Normal"/>
    <w:link w:val="SangradetextonormalCar"/>
    <w:uiPriority w:val="99"/>
    <w:semiHidden/>
    <w:unhideWhenUsed/>
    <w:rsid w:val="0003148D"/>
    <w:pPr>
      <w:spacing w:after="120"/>
      <w:ind w:left="283"/>
    </w:pPr>
  </w:style>
  <w:style w:type="character" w:customStyle="1" w:styleId="SangradetextonormalCar">
    <w:name w:val="Sangría de texto normal Car"/>
    <w:basedOn w:val="Fuentedeprrafopredeter"/>
    <w:link w:val="Sangradetextonormal"/>
    <w:uiPriority w:val="99"/>
    <w:semiHidden/>
    <w:rsid w:val="0003148D"/>
  </w:style>
  <w:style w:type="paragraph" w:styleId="Textoindependienteprimerasangra2">
    <w:name w:val="Body Text First Indent 2"/>
    <w:basedOn w:val="Sangradetextonormal"/>
    <w:link w:val="Textoindependienteprimerasangra2Car"/>
    <w:uiPriority w:val="99"/>
    <w:semiHidden/>
    <w:unhideWhenUsed/>
    <w:rsid w:val="0003148D"/>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03148D"/>
  </w:style>
  <w:style w:type="paragraph" w:styleId="Listaconvietas">
    <w:name w:val="List Bullet"/>
    <w:basedOn w:val="Normal"/>
    <w:uiPriority w:val="99"/>
    <w:semiHidden/>
    <w:unhideWhenUsed/>
    <w:rsid w:val="0003148D"/>
    <w:pPr>
      <w:numPr>
        <w:numId w:val="7"/>
      </w:numPr>
      <w:contextualSpacing/>
    </w:pPr>
  </w:style>
  <w:style w:type="paragraph" w:styleId="Listaconvietas2">
    <w:name w:val="List Bullet 2"/>
    <w:basedOn w:val="Normal"/>
    <w:uiPriority w:val="99"/>
    <w:semiHidden/>
    <w:unhideWhenUsed/>
    <w:rsid w:val="0003148D"/>
    <w:pPr>
      <w:numPr>
        <w:numId w:val="8"/>
      </w:numPr>
      <w:contextualSpacing/>
    </w:pPr>
  </w:style>
  <w:style w:type="paragraph" w:styleId="Listaconvietas3">
    <w:name w:val="List Bullet 3"/>
    <w:basedOn w:val="Normal"/>
    <w:uiPriority w:val="99"/>
    <w:semiHidden/>
    <w:unhideWhenUsed/>
    <w:rsid w:val="0003148D"/>
    <w:pPr>
      <w:numPr>
        <w:numId w:val="9"/>
      </w:numPr>
      <w:contextualSpacing/>
    </w:pPr>
  </w:style>
  <w:style w:type="paragraph" w:styleId="Listaconvietas4">
    <w:name w:val="List Bullet 4"/>
    <w:basedOn w:val="Normal"/>
    <w:uiPriority w:val="99"/>
    <w:semiHidden/>
    <w:unhideWhenUsed/>
    <w:rsid w:val="0003148D"/>
    <w:pPr>
      <w:numPr>
        <w:numId w:val="10"/>
      </w:numPr>
      <w:contextualSpacing/>
    </w:pPr>
  </w:style>
  <w:style w:type="paragraph" w:styleId="Listaconvietas5">
    <w:name w:val="List Bullet 5"/>
    <w:basedOn w:val="Normal"/>
    <w:uiPriority w:val="99"/>
    <w:semiHidden/>
    <w:unhideWhenUsed/>
    <w:rsid w:val="0003148D"/>
    <w:pPr>
      <w:numPr>
        <w:numId w:val="11"/>
      </w:numPr>
      <w:contextualSpacing/>
    </w:pPr>
  </w:style>
  <w:style w:type="paragraph" w:styleId="Sangra2detindependiente">
    <w:name w:val="Body Text Indent 2"/>
    <w:basedOn w:val="Normal"/>
    <w:link w:val="Sangra2detindependienteCar"/>
    <w:uiPriority w:val="99"/>
    <w:semiHidden/>
    <w:unhideWhenUsed/>
    <w:rsid w:val="0003148D"/>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03148D"/>
  </w:style>
  <w:style w:type="paragraph" w:styleId="Sangra3detindependiente">
    <w:name w:val="Body Text Indent 3"/>
    <w:basedOn w:val="Normal"/>
    <w:link w:val="Sangra3detindependienteCar"/>
    <w:uiPriority w:val="99"/>
    <w:semiHidden/>
    <w:unhideWhenUsed/>
    <w:rsid w:val="0003148D"/>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03148D"/>
    <w:rPr>
      <w:sz w:val="16"/>
      <w:szCs w:val="16"/>
    </w:rPr>
  </w:style>
  <w:style w:type="paragraph" w:styleId="Sangranormal">
    <w:name w:val="Normal Indent"/>
    <w:basedOn w:val="Normal"/>
    <w:uiPriority w:val="99"/>
    <w:semiHidden/>
    <w:unhideWhenUsed/>
    <w:rsid w:val="0003148D"/>
    <w:pPr>
      <w:ind w:left="720"/>
    </w:pPr>
  </w:style>
  <w:style w:type="paragraph" w:styleId="Textocomentario">
    <w:name w:val="annotation text"/>
    <w:basedOn w:val="Normal"/>
    <w:link w:val="TextocomentarioCar"/>
    <w:uiPriority w:val="99"/>
    <w:unhideWhenUsed/>
    <w:rsid w:val="0003148D"/>
    <w:pPr>
      <w:spacing w:line="240" w:lineRule="auto"/>
    </w:pPr>
  </w:style>
  <w:style w:type="character" w:customStyle="1" w:styleId="TextocomentarioCar">
    <w:name w:val="Texto comentario Car"/>
    <w:basedOn w:val="Fuentedeprrafopredeter"/>
    <w:link w:val="Textocomentario"/>
    <w:uiPriority w:val="99"/>
    <w:rsid w:val="0003148D"/>
    <w:rPr>
      <w:sz w:val="20"/>
      <w:szCs w:val="20"/>
    </w:rPr>
  </w:style>
  <w:style w:type="paragraph" w:styleId="Asuntodelcomentario">
    <w:name w:val="annotation subject"/>
    <w:basedOn w:val="Textocomentario"/>
    <w:next w:val="Textocomentario"/>
    <w:link w:val="AsuntodelcomentarioCar"/>
    <w:uiPriority w:val="99"/>
    <w:semiHidden/>
    <w:unhideWhenUsed/>
    <w:rsid w:val="0003148D"/>
    <w:rPr>
      <w:b/>
      <w:bCs/>
    </w:rPr>
  </w:style>
  <w:style w:type="character" w:customStyle="1" w:styleId="AsuntodelcomentarioCar">
    <w:name w:val="Asunto del comentario Car"/>
    <w:basedOn w:val="TextocomentarioCar"/>
    <w:link w:val="Asuntodelcomentario"/>
    <w:uiPriority w:val="99"/>
    <w:semiHidden/>
    <w:rsid w:val="0003148D"/>
    <w:rPr>
      <w:b/>
      <w:bCs/>
      <w:sz w:val="20"/>
      <w:szCs w:val="20"/>
    </w:rPr>
  </w:style>
  <w:style w:type="paragraph" w:styleId="TDC1">
    <w:name w:val="toc 1"/>
    <w:basedOn w:val="Normal"/>
    <w:next w:val="Normal"/>
    <w:autoRedefine/>
    <w:uiPriority w:val="39"/>
    <w:semiHidden/>
    <w:unhideWhenUsed/>
    <w:rsid w:val="0003148D"/>
    <w:pPr>
      <w:spacing w:after="100"/>
    </w:pPr>
  </w:style>
  <w:style w:type="paragraph" w:styleId="TDC2">
    <w:name w:val="toc 2"/>
    <w:basedOn w:val="Normal"/>
    <w:next w:val="Normal"/>
    <w:autoRedefine/>
    <w:uiPriority w:val="39"/>
    <w:semiHidden/>
    <w:unhideWhenUsed/>
    <w:rsid w:val="0003148D"/>
    <w:pPr>
      <w:spacing w:after="100"/>
      <w:ind w:left="220"/>
    </w:pPr>
  </w:style>
  <w:style w:type="paragraph" w:styleId="TDC3">
    <w:name w:val="toc 3"/>
    <w:basedOn w:val="Normal"/>
    <w:next w:val="Normal"/>
    <w:autoRedefine/>
    <w:uiPriority w:val="39"/>
    <w:semiHidden/>
    <w:unhideWhenUsed/>
    <w:rsid w:val="0003148D"/>
    <w:pPr>
      <w:spacing w:after="100"/>
      <w:ind w:left="440"/>
    </w:pPr>
  </w:style>
  <w:style w:type="paragraph" w:styleId="TDC4">
    <w:name w:val="toc 4"/>
    <w:basedOn w:val="Normal"/>
    <w:next w:val="Normal"/>
    <w:autoRedefine/>
    <w:uiPriority w:val="39"/>
    <w:semiHidden/>
    <w:unhideWhenUsed/>
    <w:rsid w:val="0003148D"/>
    <w:pPr>
      <w:spacing w:after="100"/>
      <w:ind w:left="660"/>
    </w:pPr>
  </w:style>
  <w:style w:type="paragraph" w:styleId="TDC5">
    <w:name w:val="toc 5"/>
    <w:basedOn w:val="Normal"/>
    <w:next w:val="Normal"/>
    <w:autoRedefine/>
    <w:uiPriority w:val="39"/>
    <w:semiHidden/>
    <w:unhideWhenUsed/>
    <w:rsid w:val="0003148D"/>
    <w:pPr>
      <w:spacing w:after="100"/>
      <w:ind w:left="880"/>
    </w:pPr>
  </w:style>
  <w:style w:type="paragraph" w:styleId="TDC6">
    <w:name w:val="toc 6"/>
    <w:basedOn w:val="Normal"/>
    <w:next w:val="Normal"/>
    <w:autoRedefine/>
    <w:uiPriority w:val="39"/>
    <w:semiHidden/>
    <w:unhideWhenUsed/>
    <w:rsid w:val="0003148D"/>
    <w:pPr>
      <w:spacing w:after="100"/>
      <w:ind w:left="1100"/>
    </w:pPr>
  </w:style>
  <w:style w:type="paragraph" w:styleId="TDC7">
    <w:name w:val="toc 7"/>
    <w:basedOn w:val="Normal"/>
    <w:next w:val="Normal"/>
    <w:autoRedefine/>
    <w:uiPriority w:val="39"/>
    <w:semiHidden/>
    <w:unhideWhenUsed/>
    <w:rsid w:val="0003148D"/>
    <w:pPr>
      <w:spacing w:after="100"/>
      <w:ind w:left="1320"/>
    </w:pPr>
  </w:style>
  <w:style w:type="paragraph" w:styleId="TDC8">
    <w:name w:val="toc 8"/>
    <w:basedOn w:val="Normal"/>
    <w:next w:val="Normal"/>
    <w:autoRedefine/>
    <w:uiPriority w:val="39"/>
    <w:semiHidden/>
    <w:unhideWhenUsed/>
    <w:rsid w:val="0003148D"/>
    <w:pPr>
      <w:spacing w:after="100"/>
      <w:ind w:left="1540"/>
    </w:pPr>
  </w:style>
  <w:style w:type="paragraph" w:styleId="TDC9">
    <w:name w:val="toc 9"/>
    <w:basedOn w:val="Normal"/>
    <w:next w:val="Normal"/>
    <w:autoRedefine/>
    <w:uiPriority w:val="39"/>
    <w:semiHidden/>
    <w:unhideWhenUsed/>
    <w:rsid w:val="0003148D"/>
    <w:pPr>
      <w:spacing w:after="100"/>
      <w:ind w:left="1760"/>
    </w:pPr>
  </w:style>
  <w:style w:type="paragraph" w:styleId="Textodebloque">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omacro">
    <w:name w:val="macro"/>
    <w:link w:val="TextomacroC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omacroCar">
    <w:name w:val="Texto macro Car"/>
    <w:basedOn w:val="Fuentedeprrafopredeter"/>
    <w:link w:val="Textomacro"/>
    <w:uiPriority w:val="99"/>
    <w:semiHidden/>
    <w:rsid w:val="0003148D"/>
    <w:rPr>
      <w:rFonts w:ascii="Consolas" w:hAnsi="Consolas" w:cs="Consolas"/>
      <w:sz w:val="20"/>
      <w:szCs w:val="20"/>
    </w:rPr>
  </w:style>
  <w:style w:type="paragraph" w:styleId="Textosinformato">
    <w:name w:val="Plain Text"/>
    <w:basedOn w:val="Normal"/>
    <w:link w:val="TextosinformatoCar"/>
    <w:uiPriority w:val="99"/>
    <w:semiHidden/>
    <w:unhideWhenUsed/>
    <w:rsid w:val="0003148D"/>
    <w:pPr>
      <w:spacing w:line="240" w:lineRule="auto"/>
    </w:pPr>
    <w:rPr>
      <w:rFonts w:ascii="Consolas" w:hAnsi="Consolas" w:cs="Consolas"/>
      <w:sz w:val="21"/>
      <w:szCs w:val="21"/>
    </w:rPr>
  </w:style>
  <w:style w:type="character" w:customStyle="1" w:styleId="TextosinformatoCar">
    <w:name w:val="Texto sin formato Car"/>
    <w:basedOn w:val="Fuentedeprrafopredeter"/>
    <w:link w:val="Textosinformato"/>
    <w:uiPriority w:val="99"/>
    <w:semiHidden/>
    <w:rsid w:val="0003148D"/>
    <w:rPr>
      <w:rFonts w:ascii="Consolas" w:hAnsi="Consolas" w:cs="Consolas"/>
      <w:sz w:val="21"/>
      <w:szCs w:val="21"/>
    </w:rPr>
  </w:style>
  <w:style w:type="paragraph" w:styleId="Textonotapie">
    <w:name w:val="footnote text"/>
    <w:basedOn w:val="Normal"/>
    <w:link w:val="TextonotapieCar"/>
    <w:uiPriority w:val="99"/>
    <w:semiHidden/>
    <w:unhideWhenUsed/>
    <w:rsid w:val="0003148D"/>
    <w:pPr>
      <w:spacing w:line="240" w:lineRule="auto"/>
    </w:pPr>
  </w:style>
  <w:style w:type="character" w:customStyle="1" w:styleId="TextonotapieCar">
    <w:name w:val="Texto nota pie Car"/>
    <w:basedOn w:val="Fuentedeprrafopredeter"/>
    <w:link w:val="Textonotapie"/>
    <w:uiPriority w:val="99"/>
    <w:semiHidden/>
    <w:rsid w:val="0003148D"/>
    <w:rPr>
      <w:sz w:val="20"/>
      <w:szCs w:val="20"/>
    </w:rPr>
  </w:style>
  <w:style w:type="paragraph" w:styleId="Textonotaalfinal">
    <w:name w:val="endnote text"/>
    <w:basedOn w:val="Normal"/>
    <w:link w:val="TextonotaalfinalCar"/>
    <w:uiPriority w:val="99"/>
    <w:semiHidden/>
    <w:unhideWhenUsed/>
    <w:rsid w:val="0003148D"/>
    <w:pPr>
      <w:spacing w:line="240" w:lineRule="auto"/>
    </w:pPr>
  </w:style>
  <w:style w:type="character" w:customStyle="1" w:styleId="TextonotaalfinalCar">
    <w:name w:val="Texto nota al final Car"/>
    <w:basedOn w:val="Fuentedeprrafopredeter"/>
    <w:link w:val="Textonotaalfinal"/>
    <w:uiPriority w:val="99"/>
    <w:semiHidden/>
    <w:rsid w:val="0003148D"/>
    <w:rPr>
      <w:sz w:val="20"/>
      <w:szCs w:val="20"/>
    </w:rPr>
  </w:style>
  <w:style w:type="character" w:customStyle="1" w:styleId="Ttulo1Car">
    <w:name w:val="Título 1 Car"/>
    <w:basedOn w:val="Fuentedeprrafopredeter"/>
    <w:link w:val="Ttulo1"/>
    <w:uiPriority w:val="9"/>
    <w:rsid w:val="004F5E36"/>
    <w:rPr>
      <w:rFonts w:ascii="Arial" w:eastAsia="Times New Roman" w:hAnsi="Arial" w:cs="Times New Roman"/>
      <w:b/>
      <w:sz w:val="20"/>
      <w:szCs w:val="20"/>
      <w:lang w:val="en-GB"/>
    </w:rPr>
  </w:style>
  <w:style w:type="character" w:customStyle="1" w:styleId="Ttulo2Car">
    <w:name w:val="Título 2 Car"/>
    <w:basedOn w:val="Fuentedeprrafopredeter"/>
    <w:link w:val="Ttu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03148D"/>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03148D"/>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03148D"/>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03148D"/>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03148D"/>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03148D"/>
    <w:rPr>
      <w:rFonts w:asciiTheme="majorHAnsi" w:eastAsiaTheme="majorEastAsia" w:hAnsiTheme="majorHAnsi" w:cstheme="majorBidi"/>
      <w:i/>
      <w:iCs/>
      <w:color w:val="404040" w:themeColor="text1" w:themeTint="BF"/>
      <w:sz w:val="20"/>
      <w:szCs w:val="20"/>
    </w:rPr>
  </w:style>
  <w:style w:type="paragraph" w:styleId="Ttulodendice">
    <w:name w:val="index heading"/>
    <w:basedOn w:val="Normal"/>
    <w:next w:val="ndice1"/>
    <w:uiPriority w:val="99"/>
    <w:semiHidden/>
    <w:unhideWhenUsed/>
    <w:rsid w:val="0003148D"/>
    <w:rPr>
      <w:rFonts w:asciiTheme="majorHAnsi" w:eastAsiaTheme="majorEastAsia" w:hAnsiTheme="majorHAnsi" w:cstheme="majorBidi"/>
      <w:b/>
      <w:bCs/>
    </w:rPr>
  </w:style>
  <w:style w:type="paragraph" w:styleId="Encabezadodelista">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tuloTDC">
    <w:name w:val="TOC Heading"/>
    <w:basedOn w:val="Ttulo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Fuentedeprrafopredeter"/>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Encabezado">
    <w:name w:val="header"/>
    <w:basedOn w:val="Normal"/>
    <w:link w:val="EncabezadoCar"/>
    <w:uiPriority w:val="99"/>
    <w:unhideWhenUsed/>
    <w:rsid w:val="005278B7"/>
    <w:pPr>
      <w:tabs>
        <w:tab w:val="clear" w:pos="7100"/>
        <w:tab w:val="center" w:pos="4819"/>
        <w:tab w:val="right" w:pos="9638"/>
      </w:tabs>
      <w:spacing w:line="240" w:lineRule="auto"/>
    </w:pPr>
  </w:style>
  <w:style w:type="character" w:customStyle="1" w:styleId="EncabezadoCar">
    <w:name w:val="Encabezado Car"/>
    <w:basedOn w:val="Fuentedeprrafopredeter"/>
    <w:link w:val="Encabezado"/>
    <w:uiPriority w:val="99"/>
    <w:rsid w:val="005278B7"/>
    <w:rPr>
      <w:rFonts w:ascii="Arial" w:eastAsia="Times New Roman" w:hAnsi="Arial" w:cs="Times New Roman"/>
      <w:sz w:val="18"/>
      <w:szCs w:val="20"/>
      <w:lang w:val="en-GB"/>
    </w:rPr>
  </w:style>
  <w:style w:type="paragraph" w:styleId="Piedepgina">
    <w:name w:val="footer"/>
    <w:basedOn w:val="Normal"/>
    <w:link w:val="PiedepginaCar"/>
    <w:uiPriority w:val="99"/>
    <w:unhideWhenUsed/>
    <w:rsid w:val="005278B7"/>
    <w:pPr>
      <w:tabs>
        <w:tab w:val="clear" w:pos="7100"/>
        <w:tab w:val="center" w:pos="4819"/>
        <w:tab w:val="right" w:pos="9638"/>
      </w:tabs>
      <w:spacing w:line="240" w:lineRule="auto"/>
    </w:pPr>
  </w:style>
  <w:style w:type="character" w:customStyle="1" w:styleId="PiedepginaCar">
    <w:name w:val="Pie de página Car"/>
    <w:basedOn w:val="Fuentedeprrafopredeter"/>
    <w:link w:val="Piedepgina"/>
    <w:uiPriority w:val="99"/>
    <w:rsid w:val="005278B7"/>
    <w:rPr>
      <w:rFonts w:ascii="Arial" w:eastAsia="Times New Roman" w:hAnsi="Arial" w:cs="Times New Roman"/>
      <w:sz w:val="18"/>
      <w:szCs w:val="20"/>
      <w:lang w:val="en-GB"/>
    </w:rPr>
  </w:style>
  <w:style w:type="table" w:styleId="Tablaconcuadrcula">
    <w:name w:val="Table Grid"/>
    <w:basedOn w:val="Tabla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904C62"/>
    <w:rPr>
      <w:color w:val="0000FF" w:themeColor="hyperlink"/>
      <w:u w:val="single"/>
    </w:rPr>
  </w:style>
  <w:style w:type="character" w:customStyle="1" w:styleId="eudoraheader">
    <w:name w:val="eudoraheader"/>
    <w:basedOn w:val="Fuentedeprrafopredeter"/>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rrafodelista">
    <w:name w:val="List Paragraph"/>
    <w:basedOn w:val="Normal"/>
    <w:uiPriority w:val="34"/>
    <w:rsid w:val="00280FAF"/>
    <w:pPr>
      <w:ind w:left="720"/>
      <w:contextualSpacing/>
    </w:pPr>
  </w:style>
  <w:style w:type="paragraph" w:customStyle="1" w:styleId="Default">
    <w:name w:val="Default"/>
    <w:rsid w:val="00E67621"/>
    <w:pPr>
      <w:autoSpaceDE w:val="0"/>
      <w:autoSpaceDN w:val="0"/>
      <w:adjustRightInd w:val="0"/>
      <w:spacing w:after="0" w:line="240" w:lineRule="auto"/>
    </w:pPr>
    <w:rPr>
      <w:rFonts w:ascii="Calibri" w:hAnsi="Calibri" w:cs="Calibri"/>
      <w:color w:val="000000"/>
      <w:sz w:val="24"/>
      <w:szCs w:val="24"/>
      <w:lang w:val="es-ES"/>
    </w:rPr>
  </w:style>
  <w:style w:type="paragraph" w:styleId="Revisin">
    <w:name w:val="Revision"/>
    <w:hidden/>
    <w:uiPriority w:val="99"/>
    <w:semiHidden/>
    <w:rsid w:val="00BC576B"/>
    <w:pPr>
      <w:spacing w:after="0" w:line="240" w:lineRule="auto"/>
    </w:pPr>
    <w:rPr>
      <w:rFonts w:ascii="Arial" w:eastAsia="Times New Roman" w:hAnsi="Arial" w:cs="Times New Roman"/>
      <w:sz w:val="18"/>
      <w:szCs w:val="20"/>
      <w:lang w:val="en-GB"/>
    </w:rPr>
  </w:style>
  <w:style w:type="character" w:styleId="nfasis">
    <w:name w:val="Emphasis"/>
    <w:basedOn w:val="Fuentedeprrafopredeter"/>
    <w:uiPriority w:val="20"/>
    <w:qFormat/>
    <w:rsid w:val="008D2B8F"/>
    <w:rPr>
      <w:i/>
      <w:iCs/>
    </w:rPr>
  </w:style>
  <w:style w:type="character" w:customStyle="1" w:styleId="react-xocs-alternative-link">
    <w:name w:val="react-xocs-alternative-link"/>
    <w:basedOn w:val="Fuentedeprrafopredeter"/>
    <w:rsid w:val="00224BC0"/>
  </w:style>
  <w:style w:type="character" w:customStyle="1" w:styleId="given-name">
    <w:name w:val="given-name"/>
    <w:basedOn w:val="Fuentedeprrafopredeter"/>
    <w:rsid w:val="00224BC0"/>
  </w:style>
  <w:style w:type="character" w:customStyle="1" w:styleId="text">
    <w:name w:val="text"/>
    <w:basedOn w:val="Fuentedeprrafopredeter"/>
    <w:rsid w:val="00224B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9004">
      <w:bodyDiv w:val="1"/>
      <w:marLeft w:val="0"/>
      <w:marRight w:val="0"/>
      <w:marTop w:val="0"/>
      <w:marBottom w:val="0"/>
      <w:divBdr>
        <w:top w:val="none" w:sz="0" w:space="0" w:color="auto"/>
        <w:left w:val="none" w:sz="0" w:space="0" w:color="auto"/>
        <w:bottom w:val="none" w:sz="0" w:space="0" w:color="auto"/>
        <w:right w:val="none" w:sz="0" w:space="0" w:color="auto"/>
      </w:divBdr>
      <w:divsChild>
        <w:div w:id="1554273963">
          <w:marLeft w:val="0"/>
          <w:marRight w:val="0"/>
          <w:marTop w:val="0"/>
          <w:marBottom w:val="0"/>
          <w:divBdr>
            <w:top w:val="none" w:sz="0" w:space="0" w:color="auto"/>
            <w:left w:val="none" w:sz="0" w:space="0" w:color="auto"/>
            <w:bottom w:val="none" w:sz="0" w:space="0" w:color="auto"/>
            <w:right w:val="none" w:sz="0" w:space="0" w:color="auto"/>
          </w:divBdr>
        </w:div>
      </w:divsChild>
    </w:div>
    <w:div w:id="144517260">
      <w:bodyDiv w:val="1"/>
      <w:marLeft w:val="0"/>
      <w:marRight w:val="0"/>
      <w:marTop w:val="0"/>
      <w:marBottom w:val="0"/>
      <w:divBdr>
        <w:top w:val="none" w:sz="0" w:space="0" w:color="auto"/>
        <w:left w:val="none" w:sz="0" w:space="0" w:color="auto"/>
        <w:bottom w:val="none" w:sz="0" w:space="0" w:color="auto"/>
        <w:right w:val="none" w:sz="0" w:space="0" w:color="auto"/>
      </w:divBdr>
    </w:div>
    <w:div w:id="187915261">
      <w:bodyDiv w:val="1"/>
      <w:marLeft w:val="0"/>
      <w:marRight w:val="0"/>
      <w:marTop w:val="0"/>
      <w:marBottom w:val="0"/>
      <w:divBdr>
        <w:top w:val="none" w:sz="0" w:space="0" w:color="auto"/>
        <w:left w:val="none" w:sz="0" w:space="0" w:color="auto"/>
        <w:bottom w:val="none" w:sz="0" w:space="0" w:color="auto"/>
        <w:right w:val="none" w:sz="0" w:space="0" w:color="auto"/>
      </w:divBdr>
    </w:div>
    <w:div w:id="233660705">
      <w:bodyDiv w:val="1"/>
      <w:marLeft w:val="0"/>
      <w:marRight w:val="0"/>
      <w:marTop w:val="0"/>
      <w:marBottom w:val="0"/>
      <w:divBdr>
        <w:top w:val="none" w:sz="0" w:space="0" w:color="auto"/>
        <w:left w:val="none" w:sz="0" w:space="0" w:color="auto"/>
        <w:bottom w:val="none" w:sz="0" w:space="0" w:color="auto"/>
        <w:right w:val="none" w:sz="0" w:space="0" w:color="auto"/>
      </w:divBdr>
      <w:divsChild>
        <w:div w:id="1220871158">
          <w:marLeft w:val="0"/>
          <w:marRight w:val="0"/>
          <w:marTop w:val="0"/>
          <w:marBottom w:val="0"/>
          <w:divBdr>
            <w:top w:val="none" w:sz="0" w:space="0" w:color="auto"/>
            <w:left w:val="none" w:sz="0" w:space="0" w:color="auto"/>
            <w:bottom w:val="none" w:sz="0" w:space="0" w:color="auto"/>
            <w:right w:val="none" w:sz="0" w:space="0" w:color="auto"/>
          </w:divBdr>
        </w:div>
      </w:divsChild>
    </w:div>
    <w:div w:id="473136457">
      <w:bodyDiv w:val="1"/>
      <w:marLeft w:val="0"/>
      <w:marRight w:val="0"/>
      <w:marTop w:val="0"/>
      <w:marBottom w:val="0"/>
      <w:divBdr>
        <w:top w:val="none" w:sz="0" w:space="0" w:color="auto"/>
        <w:left w:val="none" w:sz="0" w:space="0" w:color="auto"/>
        <w:bottom w:val="none" w:sz="0" w:space="0" w:color="auto"/>
        <w:right w:val="none" w:sz="0" w:space="0" w:color="auto"/>
      </w:divBdr>
    </w:div>
    <w:div w:id="492568863">
      <w:bodyDiv w:val="1"/>
      <w:marLeft w:val="0"/>
      <w:marRight w:val="0"/>
      <w:marTop w:val="0"/>
      <w:marBottom w:val="0"/>
      <w:divBdr>
        <w:top w:val="none" w:sz="0" w:space="0" w:color="auto"/>
        <w:left w:val="none" w:sz="0" w:space="0" w:color="auto"/>
        <w:bottom w:val="none" w:sz="0" w:space="0" w:color="auto"/>
        <w:right w:val="none" w:sz="0" w:space="0" w:color="auto"/>
      </w:divBdr>
    </w:div>
    <w:div w:id="692849930">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97285617">
      <w:bodyDiv w:val="1"/>
      <w:marLeft w:val="0"/>
      <w:marRight w:val="0"/>
      <w:marTop w:val="0"/>
      <w:marBottom w:val="0"/>
      <w:divBdr>
        <w:top w:val="none" w:sz="0" w:space="0" w:color="auto"/>
        <w:left w:val="none" w:sz="0" w:space="0" w:color="auto"/>
        <w:bottom w:val="none" w:sz="0" w:space="0" w:color="auto"/>
        <w:right w:val="none" w:sz="0" w:space="0" w:color="auto"/>
      </w:divBdr>
    </w:div>
    <w:div w:id="904951862">
      <w:bodyDiv w:val="1"/>
      <w:marLeft w:val="0"/>
      <w:marRight w:val="0"/>
      <w:marTop w:val="0"/>
      <w:marBottom w:val="0"/>
      <w:divBdr>
        <w:top w:val="none" w:sz="0" w:space="0" w:color="auto"/>
        <w:left w:val="none" w:sz="0" w:space="0" w:color="auto"/>
        <w:bottom w:val="none" w:sz="0" w:space="0" w:color="auto"/>
        <w:right w:val="none" w:sz="0" w:space="0" w:color="auto"/>
      </w:divBdr>
      <w:divsChild>
        <w:div w:id="453476019">
          <w:marLeft w:val="0"/>
          <w:marRight w:val="0"/>
          <w:marTop w:val="0"/>
          <w:marBottom w:val="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834252">
      <w:bodyDiv w:val="1"/>
      <w:marLeft w:val="0"/>
      <w:marRight w:val="0"/>
      <w:marTop w:val="0"/>
      <w:marBottom w:val="0"/>
      <w:divBdr>
        <w:top w:val="none" w:sz="0" w:space="0" w:color="auto"/>
        <w:left w:val="none" w:sz="0" w:space="0" w:color="auto"/>
        <w:bottom w:val="none" w:sz="0" w:space="0" w:color="auto"/>
        <w:right w:val="none" w:sz="0" w:space="0" w:color="auto"/>
      </w:divBdr>
    </w:div>
    <w:div w:id="1416828779">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583532">
      <w:bodyDiv w:val="1"/>
      <w:marLeft w:val="0"/>
      <w:marRight w:val="0"/>
      <w:marTop w:val="0"/>
      <w:marBottom w:val="0"/>
      <w:divBdr>
        <w:top w:val="none" w:sz="0" w:space="0" w:color="auto"/>
        <w:left w:val="none" w:sz="0" w:space="0" w:color="auto"/>
        <w:bottom w:val="none" w:sz="0" w:space="0" w:color="auto"/>
        <w:right w:val="none" w:sz="0" w:space="0" w:color="auto"/>
      </w:divBdr>
    </w:div>
    <w:div w:id="2081050167">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chart" Target="charts/chart2.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png"/></Relationships>
</file>

<file path=word/charts/_rels/chart1.xml.rels><?xml version="1.0" encoding="UTF-8" standalone="yes"?>
<Relationships xmlns="http://schemas.openxmlformats.org/package/2006/relationships"><Relationship Id="rId3" Type="http://schemas.openxmlformats.org/officeDocument/2006/relationships/oleObject" Target="https://alumucaes-my.sharepoint.com/personal/lidia_veranonaranjo_alum_uca_es/Documents/Presentaciones-Congresos/ICHEAP16%202023/Antonio/Datos/Carga_rev%20Lidia.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2.xml.rels><?xml version="1.0" encoding="UTF-8" standalone="yes"?>
<Relationships xmlns="http://schemas.openxmlformats.org/package/2006/relationships"><Relationship Id="rId3" Type="http://schemas.openxmlformats.org/officeDocument/2006/relationships/oleObject" Target="https://alumucaes-my.sharepoint.com/personal/lidia_veranonaranjo_alum_uca_es/Documents/Presentaciones-Congresos/ICHEAP16%202023/Antonio/Datos/DPPH%20liberacion%20LIDIA.xlsx" TargetMode="Externa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2.xml"/></Relationships>
</file>

<file path=word/charts/_rels/chart3.xml.rels><?xml version="1.0" encoding="UTF-8" standalone="yes"?>
<Relationships xmlns="http://schemas.openxmlformats.org/package/2006/relationships"><Relationship Id="rId3" Type="http://schemas.openxmlformats.org/officeDocument/2006/relationships/oleObject" Target="https://alumucaes-my.sharepoint.com/personal/lidia_veranonaranjo_alum_uca_es/Documents/Presentaciones-Congresos/ICHEAP16%202023/Antonio/Datos/DPPH%20liberacion%20LIDIA.xlsx" TargetMode="Externa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chartUserShapes" Target="../drawings/drawing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v>PLA</c:v>
          </c:tx>
          <c:spPr>
            <a:solidFill>
              <a:schemeClr val="accent1"/>
            </a:solidFill>
            <a:ln>
              <a:noFill/>
            </a:ln>
            <a:effectLst/>
          </c:spPr>
          <c:invertIfNegative val="0"/>
          <c:errBars>
            <c:errBarType val="both"/>
            <c:errValType val="cust"/>
            <c:noEndCap val="0"/>
            <c:plus>
              <c:numRef>
                <c:f>(Hoja2!$B$13,Hoja2!$D$13,Hoja2!$F$13)</c:f>
                <c:numCache>
                  <c:formatCode>General</c:formatCode>
                  <c:ptCount val="3"/>
                  <c:pt idx="0">
                    <c:v>5.7006948699259374E-2</c:v>
                  </c:pt>
                  <c:pt idx="1">
                    <c:v>8.2685796765609304E-3</c:v>
                  </c:pt>
                  <c:pt idx="2">
                    <c:v>3.3697951978314952E-3</c:v>
                  </c:pt>
                </c:numCache>
                <c:extLst/>
              </c:numRef>
            </c:plus>
            <c:minus>
              <c:numRef>
                <c:f>(Hoja2!$B$13,Hoja2!$D$13,Hoja2!$F$13)</c:f>
                <c:numCache>
                  <c:formatCode>General</c:formatCode>
                  <c:ptCount val="3"/>
                  <c:pt idx="0">
                    <c:v>5.7006948699259374E-2</c:v>
                  </c:pt>
                  <c:pt idx="1">
                    <c:v>8.2685796765609304E-3</c:v>
                  </c:pt>
                  <c:pt idx="2">
                    <c:v>3.3697951978314952E-3</c:v>
                  </c:pt>
                </c:numCache>
                <c:extLst/>
              </c:numRef>
            </c:minus>
            <c:spPr>
              <a:noFill/>
              <a:ln w="9525" cap="flat" cmpd="sng" algn="ctr">
                <a:solidFill>
                  <a:schemeClr val="tx1">
                    <a:lumMod val="65000"/>
                    <a:lumOff val="35000"/>
                  </a:schemeClr>
                </a:solidFill>
                <a:round/>
              </a:ln>
              <a:effectLst/>
            </c:spPr>
          </c:errBars>
          <c:cat>
            <c:strRef>
              <c:f>(Hoja2!$B$2,Hoja2!$D$2,Hoja2!$F$2)</c:f>
              <c:strCache>
                <c:ptCount val="3"/>
                <c:pt idx="0">
                  <c:v>100 bar</c:v>
                </c:pt>
                <c:pt idx="1">
                  <c:v>250 bar</c:v>
                </c:pt>
                <c:pt idx="2">
                  <c:v>400 bar</c:v>
                </c:pt>
              </c:strCache>
              <c:extLst/>
            </c:strRef>
          </c:cat>
          <c:val>
            <c:numRef>
              <c:f>(Hoja2!$B$12,Hoja2!$D$12,Hoja2!$F$12)</c:f>
              <c:numCache>
                <c:formatCode>General</c:formatCode>
                <c:ptCount val="3"/>
                <c:pt idx="0">
                  <c:v>0.25320328016268701</c:v>
                </c:pt>
                <c:pt idx="1">
                  <c:v>0.35726826870909351</c:v>
                </c:pt>
                <c:pt idx="2">
                  <c:v>0.51082362855316443</c:v>
                </c:pt>
              </c:numCache>
              <c:extLst/>
            </c:numRef>
          </c:val>
          <c:extLst>
            <c:ext xmlns:c16="http://schemas.microsoft.com/office/drawing/2014/chart" uri="{C3380CC4-5D6E-409C-BE32-E72D297353CC}">
              <c16:uniqueId val="{00000000-B0C6-4A96-B9AF-9BC5AE462823}"/>
            </c:ext>
          </c:extLst>
        </c:ser>
        <c:ser>
          <c:idx val="1"/>
          <c:order val="1"/>
          <c:tx>
            <c:v>TPU</c:v>
          </c:tx>
          <c:spPr>
            <a:solidFill>
              <a:schemeClr val="accent2"/>
            </a:solidFill>
            <a:ln>
              <a:noFill/>
            </a:ln>
            <a:effectLst/>
          </c:spPr>
          <c:invertIfNegative val="0"/>
          <c:errBars>
            <c:errBarType val="both"/>
            <c:errValType val="cust"/>
            <c:noEndCap val="0"/>
            <c:plus>
              <c:numRef>
                <c:f>(Hoja2!$B$5,Hoja2!$D$5,Hoja2!$F$5)</c:f>
                <c:numCache>
                  <c:formatCode>General</c:formatCode>
                  <c:ptCount val="3"/>
                  <c:pt idx="0">
                    <c:v>5.6568542494916947E-2</c:v>
                  </c:pt>
                  <c:pt idx="1">
                    <c:v>0.22982865907919461</c:v>
                  </c:pt>
                  <c:pt idx="2">
                    <c:v>0.29571291821755313</c:v>
                  </c:pt>
                </c:numCache>
                <c:extLst/>
              </c:numRef>
            </c:plus>
            <c:minus>
              <c:numRef>
                <c:f>(Hoja2!$B$5,Hoja2!$D$5,Hoja2!$F$5)</c:f>
                <c:numCache>
                  <c:formatCode>General</c:formatCode>
                  <c:ptCount val="3"/>
                  <c:pt idx="0">
                    <c:v>5.6568542494916947E-2</c:v>
                  </c:pt>
                  <c:pt idx="1">
                    <c:v>0.22982865907919461</c:v>
                  </c:pt>
                  <c:pt idx="2">
                    <c:v>0.29571291821755313</c:v>
                  </c:pt>
                </c:numCache>
                <c:extLst/>
              </c:numRef>
            </c:minus>
            <c:spPr>
              <a:noFill/>
              <a:ln w="9525" cap="flat" cmpd="sng" algn="ctr">
                <a:solidFill>
                  <a:schemeClr val="tx1">
                    <a:lumMod val="65000"/>
                    <a:lumOff val="35000"/>
                  </a:schemeClr>
                </a:solidFill>
                <a:round/>
              </a:ln>
              <a:effectLst/>
            </c:spPr>
          </c:errBars>
          <c:cat>
            <c:strRef>
              <c:f>(Hoja2!$B$2,Hoja2!$D$2,Hoja2!$F$2)</c:f>
              <c:strCache>
                <c:ptCount val="3"/>
                <c:pt idx="0">
                  <c:v>100 bar</c:v>
                </c:pt>
                <c:pt idx="1">
                  <c:v>250 bar</c:v>
                </c:pt>
                <c:pt idx="2">
                  <c:v>400 bar</c:v>
                </c:pt>
              </c:strCache>
              <c:extLst/>
            </c:strRef>
          </c:cat>
          <c:val>
            <c:numRef>
              <c:f>(Hoja2!$B$4,Hoja2!$D$4,Hoja2!$F$4)</c:f>
              <c:numCache>
                <c:formatCode>General</c:formatCode>
                <c:ptCount val="3"/>
                <c:pt idx="0">
                  <c:v>5.8423753665689144</c:v>
                </c:pt>
                <c:pt idx="1">
                  <c:v>6.1685074093399201</c:v>
                </c:pt>
                <c:pt idx="2">
                  <c:v>8.4471493902439043</c:v>
                </c:pt>
              </c:numCache>
              <c:extLst/>
            </c:numRef>
          </c:val>
          <c:extLst>
            <c:ext xmlns:c16="http://schemas.microsoft.com/office/drawing/2014/chart" uri="{C3380CC4-5D6E-409C-BE32-E72D297353CC}">
              <c16:uniqueId val="{00000001-B0C6-4A96-B9AF-9BC5AE462823}"/>
            </c:ext>
          </c:extLst>
        </c:ser>
        <c:dLbls>
          <c:showLegendKey val="0"/>
          <c:showVal val="0"/>
          <c:showCatName val="0"/>
          <c:showSerName val="0"/>
          <c:showPercent val="0"/>
          <c:showBubbleSize val="0"/>
        </c:dLbls>
        <c:gapWidth val="219"/>
        <c:overlap val="-27"/>
        <c:axId val="1290634656"/>
        <c:axId val="1290639232"/>
      </c:barChart>
      <c:catAx>
        <c:axId val="12906346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1290639232"/>
        <c:crosses val="autoZero"/>
        <c:auto val="1"/>
        <c:lblAlgn val="ctr"/>
        <c:lblOffset val="100"/>
        <c:noMultiLvlLbl val="0"/>
      </c:catAx>
      <c:valAx>
        <c:axId val="1290639232"/>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ES" sz="900"/>
                  <a:t>mg</a:t>
                </a:r>
                <a:r>
                  <a:rPr lang="es-ES" sz="900" baseline="0"/>
                  <a:t> MLE/100 mg polymer</a:t>
                </a:r>
                <a:endParaRPr lang="es-ES" sz="900"/>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E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1290634656"/>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t" anchorCtr="0"/>
          <a:lstStyle/>
          <a:p>
            <a:pPr>
              <a:defRPr sz="1000" b="0" i="0" u="none" strike="noStrike" kern="1200" spc="0" baseline="0">
                <a:solidFill>
                  <a:schemeClr val="tx1">
                    <a:lumMod val="65000"/>
                    <a:lumOff val="35000"/>
                  </a:schemeClr>
                </a:solidFill>
                <a:latin typeface="+mn-lt"/>
                <a:ea typeface="+mn-ea"/>
                <a:cs typeface="+mn-cs"/>
              </a:defRPr>
            </a:pPr>
            <a:r>
              <a:rPr lang="es-ES" sz="1100"/>
              <a:t>A) Antioxidant activity of MLE released from PLA</a:t>
            </a:r>
          </a:p>
        </c:rich>
      </c:tx>
      <c:layout>
        <c:manualLayout>
          <c:xMode val="edge"/>
          <c:yMode val="edge"/>
          <c:x val="0.21713631156930127"/>
          <c:y val="0"/>
        </c:manualLayout>
      </c:layout>
      <c:overlay val="1"/>
      <c:spPr>
        <a:noFill/>
        <a:ln>
          <a:noFill/>
        </a:ln>
        <a:effectLst/>
      </c:spPr>
      <c:txPr>
        <a:bodyPr rot="0" spcFirstLastPara="1" vertOverflow="ellipsis" vert="horz" wrap="square" anchor="t" anchorCtr="0"/>
        <a:lstStyle/>
        <a:p>
          <a:pPr>
            <a:defRPr sz="1000" b="0" i="0" u="none" strike="noStrike" kern="1200" spc="0" baseline="0">
              <a:solidFill>
                <a:schemeClr val="tx1">
                  <a:lumMod val="65000"/>
                  <a:lumOff val="35000"/>
                </a:schemeClr>
              </a:solidFill>
              <a:latin typeface="+mn-lt"/>
              <a:ea typeface="+mn-ea"/>
              <a:cs typeface="+mn-cs"/>
            </a:defRPr>
          </a:pPr>
          <a:endParaRPr lang="es-ES"/>
        </a:p>
      </c:txPr>
    </c:title>
    <c:autoTitleDeleted val="0"/>
    <c:plotArea>
      <c:layout>
        <c:manualLayout>
          <c:layoutTarget val="inner"/>
          <c:xMode val="edge"/>
          <c:yMode val="edge"/>
          <c:x val="0.20698361158463441"/>
          <c:y val="0.10178117048346055"/>
          <c:w val="0.74261547203506784"/>
          <c:h val="0.66374867263729442"/>
        </c:manualLayout>
      </c:layout>
      <c:barChart>
        <c:barDir val="col"/>
        <c:grouping val="clustered"/>
        <c:varyColors val="0"/>
        <c:ser>
          <c:idx val="0"/>
          <c:order val="0"/>
          <c:tx>
            <c:v>240 h</c:v>
          </c:tx>
          <c:spPr>
            <a:solidFill>
              <a:schemeClr val="accent1"/>
            </a:solidFill>
            <a:ln>
              <a:noFill/>
            </a:ln>
            <a:effectLst/>
          </c:spPr>
          <c:invertIfNegative val="0"/>
          <c:errBars>
            <c:errBarType val="both"/>
            <c:errValType val="cust"/>
            <c:noEndCap val="0"/>
            <c:plus>
              <c:numRef>
                <c:f>(Hoja1!$G$5,Hoja1!$G$7,Hoja1!$G$9)</c:f>
                <c:numCache>
                  <c:formatCode>General</c:formatCode>
                  <c:ptCount val="3"/>
                  <c:pt idx="0">
                    <c:v>1.7677669529663689</c:v>
                  </c:pt>
                  <c:pt idx="1">
                    <c:v>1.4142135623730951</c:v>
                  </c:pt>
                  <c:pt idx="2">
                    <c:v>0.35355339059327379</c:v>
                  </c:pt>
                </c:numCache>
                <c:extLst/>
              </c:numRef>
            </c:plus>
            <c:minus>
              <c:numRef>
                <c:f>(Hoja1!$G$5,Hoja1!$G$7,Hoja1!$G$9)</c:f>
                <c:numCache>
                  <c:formatCode>General</c:formatCode>
                  <c:ptCount val="3"/>
                  <c:pt idx="0">
                    <c:v>1.7677669529663689</c:v>
                  </c:pt>
                  <c:pt idx="1">
                    <c:v>1.4142135623730951</c:v>
                  </c:pt>
                  <c:pt idx="2">
                    <c:v>0.35355339059327379</c:v>
                  </c:pt>
                </c:numCache>
                <c:extLst/>
              </c:numRef>
            </c:minus>
            <c:spPr>
              <a:noFill/>
              <a:ln w="9525" cap="flat" cmpd="sng" algn="ctr">
                <a:solidFill>
                  <a:schemeClr val="tx1">
                    <a:lumMod val="65000"/>
                    <a:lumOff val="35000"/>
                  </a:schemeClr>
                </a:solidFill>
                <a:round/>
              </a:ln>
              <a:effectLst/>
            </c:spPr>
          </c:errBars>
          <c:cat>
            <c:strRef>
              <c:f>(Hoja1!$D$5,Hoja1!$D$7,Hoja1!$D$9)</c:f>
              <c:strCache>
                <c:ptCount val="3"/>
                <c:pt idx="0">
                  <c:v>100 bar</c:v>
                </c:pt>
                <c:pt idx="1">
                  <c:v>250 bar</c:v>
                </c:pt>
                <c:pt idx="2">
                  <c:v>400 bar</c:v>
                </c:pt>
              </c:strCache>
              <c:extLst/>
            </c:strRef>
          </c:cat>
          <c:val>
            <c:numRef>
              <c:f>(Hoja1!$F$5,Hoja1!$F$7,Hoja1!$F$9)</c:f>
              <c:numCache>
                <c:formatCode>General</c:formatCode>
                <c:ptCount val="3"/>
                <c:pt idx="0">
                  <c:v>2.8499999999999996</c:v>
                </c:pt>
                <c:pt idx="1">
                  <c:v>5.5</c:v>
                </c:pt>
                <c:pt idx="2">
                  <c:v>9.75</c:v>
                </c:pt>
              </c:numCache>
              <c:extLst/>
            </c:numRef>
          </c:val>
          <c:extLst>
            <c:ext xmlns:c16="http://schemas.microsoft.com/office/drawing/2014/chart" uri="{C3380CC4-5D6E-409C-BE32-E72D297353CC}">
              <c16:uniqueId val="{00000000-D552-4779-BAFB-4920C9FADAFE}"/>
            </c:ext>
          </c:extLst>
        </c:ser>
        <c:ser>
          <c:idx val="1"/>
          <c:order val="1"/>
          <c:tx>
            <c:v>480 h</c:v>
          </c:tx>
          <c:spPr>
            <a:pattFill prst="wdUpDiag">
              <a:fgClr>
                <a:schemeClr val="accent1"/>
              </a:fgClr>
              <a:bgClr>
                <a:schemeClr val="bg1"/>
              </a:bgClr>
            </a:pattFill>
            <a:ln>
              <a:solidFill>
                <a:schemeClr val="accent1"/>
              </a:solidFill>
            </a:ln>
            <a:effectLst/>
          </c:spPr>
          <c:invertIfNegative val="0"/>
          <c:errBars>
            <c:errBarType val="both"/>
            <c:errValType val="cust"/>
            <c:noEndCap val="0"/>
            <c:plus>
              <c:numRef>
                <c:f>(Hoja1!$G$11,Hoja1!$G$13,Hoja1!$G$15)</c:f>
                <c:numCache>
                  <c:formatCode>General</c:formatCode>
                  <c:ptCount val="3"/>
                  <c:pt idx="0">
                    <c:v>1.9091883092036792</c:v>
                  </c:pt>
                  <c:pt idx="1">
                    <c:v>1.0606601717798212</c:v>
                  </c:pt>
                  <c:pt idx="2">
                    <c:v>0.70710678118654757</c:v>
                  </c:pt>
                </c:numCache>
                <c:extLst/>
              </c:numRef>
            </c:plus>
            <c:minus>
              <c:numRef>
                <c:f>(Hoja1!$G$11,Hoja1!$G$13,Hoja1!$G$15)</c:f>
                <c:numCache>
                  <c:formatCode>General</c:formatCode>
                  <c:ptCount val="3"/>
                  <c:pt idx="0">
                    <c:v>1.9091883092036792</c:v>
                  </c:pt>
                  <c:pt idx="1">
                    <c:v>1.0606601717798212</c:v>
                  </c:pt>
                  <c:pt idx="2">
                    <c:v>0.70710678118654757</c:v>
                  </c:pt>
                </c:numCache>
                <c:extLst/>
              </c:numRef>
            </c:minus>
            <c:spPr>
              <a:noFill/>
              <a:ln w="9525" cap="flat" cmpd="sng" algn="ctr">
                <a:solidFill>
                  <a:schemeClr val="tx1">
                    <a:lumMod val="65000"/>
                    <a:lumOff val="35000"/>
                  </a:schemeClr>
                </a:solidFill>
                <a:round/>
              </a:ln>
              <a:effectLst/>
            </c:spPr>
          </c:errBars>
          <c:cat>
            <c:strRef>
              <c:f>(Hoja1!$D$5,Hoja1!$D$7,Hoja1!$D$9)</c:f>
              <c:strCache>
                <c:ptCount val="3"/>
                <c:pt idx="0">
                  <c:v>100 bar</c:v>
                </c:pt>
                <c:pt idx="1">
                  <c:v>250 bar</c:v>
                </c:pt>
                <c:pt idx="2">
                  <c:v>400 bar</c:v>
                </c:pt>
              </c:strCache>
              <c:extLst/>
            </c:strRef>
          </c:cat>
          <c:val>
            <c:numRef>
              <c:f>(Hoja1!$F$11,Hoja1!$F$13,Hoja1!$F$15)</c:f>
              <c:numCache>
                <c:formatCode>General</c:formatCode>
                <c:ptCount val="3"/>
                <c:pt idx="0">
                  <c:v>3.15</c:v>
                </c:pt>
                <c:pt idx="1">
                  <c:v>6.75</c:v>
                </c:pt>
                <c:pt idx="2">
                  <c:v>10.5</c:v>
                </c:pt>
              </c:numCache>
              <c:extLst/>
            </c:numRef>
          </c:val>
          <c:extLst>
            <c:ext xmlns:c16="http://schemas.microsoft.com/office/drawing/2014/chart" uri="{C3380CC4-5D6E-409C-BE32-E72D297353CC}">
              <c16:uniqueId val="{00000001-D552-4779-BAFB-4920C9FADAFE}"/>
            </c:ext>
          </c:extLst>
        </c:ser>
        <c:dLbls>
          <c:showLegendKey val="0"/>
          <c:showVal val="0"/>
          <c:showCatName val="0"/>
          <c:showSerName val="0"/>
          <c:showPercent val="0"/>
          <c:showBubbleSize val="0"/>
        </c:dLbls>
        <c:gapWidth val="219"/>
        <c:overlap val="-27"/>
        <c:axId val="570178431"/>
        <c:axId val="887612959"/>
      </c:barChart>
      <c:catAx>
        <c:axId val="57017843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887612959"/>
        <c:crosses val="autoZero"/>
        <c:auto val="1"/>
        <c:lblAlgn val="ctr"/>
        <c:lblOffset val="100"/>
        <c:noMultiLvlLbl val="0"/>
      </c:catAx>
      <c:valAx>
        <c:axId val="887612959"/>
        <c:scaling>
          <c:orientation val="minMax"/>
          <c:max val="20"/>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ES"/>
                  <a:t>%</a:t>
                </a:r>
                <a:r>
                  <a:rPr lang="es-ES" baseline="0"/>
                  <a:t> Oxidation Inhibition</a:t>
                </a:r>
                <a:endParaRPr lang="es-E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E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57017843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3">
    <c:autoUpdate val="0"/>
  </c:externalData>
  <c:userShapes r:id="rId4"/>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r>
              <a:rPr lang="es-ES" sz="1100"/>
              <a:t>B) Antioxidant activity of MLE released from TPU</a:t>
            </a:r>
          </a:p>
        </c:rich>
      </c:tx>
      <c:layout>
        <c:manualLayout>
          <c:xMode val="edge"/>
          <c:yMode val="edge"/>
          <c:x val="0.22493708904943582"/>
          <c:y val="0"/>
        </c:manualLayout>
      </c:layout>
      <c:overlay val="1"/>
      <c:spPr>
        <a:noFill/>
        <a:ln>
          <a:noFill/>
        </a:ln>
        <a:effectLst/>
      </c:spPr>
      <c:txPr>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endParaRPr lang="es-ES"/>
        </a:p>
      </c:txPr>
    </c:title>
    <c:autoTitleDeleted val="0"/>
    <c:plotArea>
      <c:layout>
        <c:manualLayout>
          <c:layoutTarget val="inner"/>
          <c:xMode val="edge"/>
          <c:yMode val="edge"/>
          <c:x val="0.20698361158463441"/>
          <c:y val="0.11710794297352342"/>
          <c:w val="0.74261547203506784"/>
          <c:h val="0.6483025161569671"/>
        </c:manualLayout>
      </c:layout>
      <c:barChart>
        <c:barDir val="col"/>
        <c:grouping val="clustered"/>
        <c:varyColors val="0"/>
        <c:ser>
          <c:idx val="0"/>
          <c:order val="0"/>
          <c:tx>
            <c:v>240 h</c:v>
          </c:tx>
          <c:spPr>
            <a:solidFill>
              <a:schemeClr val="accent2"/>
            </a:solidFill>
            <a:ln>
              <a:noFill/>
            </a:ln>
            <a:effectLst/>
          </c:spPr>
          <c:invertIfNegative val="0"/>
          <c:errBars>
            <c:errBarType val="both"/>
            <c:errValType val="cust"/>
            <c:noEndCap val="0"/>
            <c:plus>
              <c:numRef>
                <c:f>(Hoja1!$G$5,Hoja1!$G$7,Hoja1!$G$9)</c:f>
                <c:numCache>
                  <c:formatCode>General</c:formatCode>
                  <c:ptCount val="3"/>
                  <c:pt idx="0">
                    <c:v>1.7677669529663689</c:v>
                  </c:pt>
                  <c:pt idx="1">
                    <c:v>1.4142135623730951</c:v>
                  </c:pt>
                  <c:pt idx="2">
                    <c:v>0.35355339059327379</c:v>
                  </c:pt>
                </c:numCache>
                <c:extLst/>
              </c:numRef>
            </c:plus>
            <c:minus>
              <c:numRef>
                <c:f>(Hoja1!$G$5,Hoja1!$G$7,Hoja1!$G$9)</c:f>
                <c:numCache>
                  <c:formatCode>General</c:formatCode>
                  <c:ptCount val="3"/>
                  <c:pt idx="0">
                    <c:v>1.7677669529663689</c:v>
                  </c:pt>
                  <c:pt idx="1">
                    <c:v>1.4142135623730951</c:v>
                  </c:pt>
                  <c:pt idx="2">
                    <c:v>0.35355339059327379</c:v>
                  </c:pt>
                </c:numCache>
                <c:extLst/>
              </c:numRef>
            </c:minus>
            <c:spPr>
              <a:noFill/>
              <a:ln w="9525" cap="flat" cmpd="sng" algn="ctr">
                <a:solidFill>
                  <a:schemeClr val="tx1">
                    <a:lumMod val="65000"/>
                    <a:lumOff val="35000"/>
                  </a:schemeClr>
                </a:solidFill>
                <a:round/>
              </a:ln>
              <a:effectLst/>
            </c:spPr>
          </c:errBars>
          <c:cat>
            <c:strRef>
              <c:f>(Hoja1!$D$5,Hoja1!$D$7,Hoja1!$D$9)</c:f>
              <c:strCache>
                <c:ptCount val="3"/>
                <c:pt idx="0">
                  <c:v>100 bar</c:v>
                </c:pt>
                <c:pt idx="1">
                  <c:v>250 bar</c:v>
                </c:pt>
                <c:pt idx="2">
                  <c:v>400 bar</c:v>
                </c:pt>
              </c:strCache>
              <c:extLst/>
            </c:strRef>
          </c:cat>
          <c:val>
            <c:numRef>
              <c:f>(Hoja1!$F$24,Hoja1!$F$26,Hoja1!$F$28)</c:f>
              <c:numCache>
                <c:formatCode>General</c:formatCode>
                <c:ptCount val="3"/>
                <c:pt idx="0">
                  <c:v>9</c:v>
                </c:pt>
                <c:pt idx="1">
                  <c:v>10</c:v>
                </c:pt>
                <c:pt idx="2">
                  <c:v>14.5</c:v>
                </c:pt>
              </c:numCache>
              <c:extLst/>
            </c:numRef>
          </c:val>
          <c:extLst>
            <c:ext xmlns:c16="http://schemas.microsoft.com/office/drawing/2014/chart" uri="{C3380CC4-5D6E-409C-BE32-E72D297353CC}">
              <c16:uniqueId val="{00000000-4B08-4740-A32D-67B6B8BFAE8C}"/>
            </c:ext>
          </c:extLst>
        </c:ser>
        <c:ser>
          <c:idx val="1"/>
          <c:order val="1"/>
          <c:tx>
            <c:v>480 h</c:v>
          </c:tx>
          <c:spPr>
            <a:pattFill prst="wdUpDiag">
              <a:fgClr>
                <a:schemeClr val="accent2"/>
              </a:fgClr>
              <a:bgClr>
                <a:schemeClr val="bg1"/>
              </a:bgClr>
            </a:pattFill>
            <a:ln>
              <a:solidFill>
                <a:schemeClr val="accent2"/>
              </a:solidFill>
            </a:ln>
            <a:effectLst/>
          </c:spPr>
          <c:invertIfNegative val="0"/>
          <c:errBars>
            <c:errBarType val="both"/>
            <c:errValType val="cust"/>
            <c:noEndCap val="0"/>
            <c:plus>
              <c:numRef>
                <c:f>(Hoja1!$G$11,Hoja1!$G$13,Hoja1!$G$15)</c:f>
                <c:numCache>
                  <c:formatCode>General</c:formatCode>
                  <c:ptCount val="3"/>
                  <c:pt idx="0">
                    <c:v>1.9091883092036792</c:v>
                  </c:pt>
                  <c:pt idx="1">
                    <c:v>1.0606601717798212</c:v>
                  </c:pt>
                  <c:pt idx="2">
                    <c:v>0.70710678118654757</c:v>
                  </c:pt>
                </c:numCache>
                <c:extLst/>
              </c:numRef>
            </c:plus>
            <c:minus>
              <c:numRef>
                <c:f>(Hoja1!$G$11,Hoja1!$G$13,Hoja1!$G$15)</c:f>
                <c:numCache>
                  <c:formatCode>General</c:formatCode>
                  <c:ptCount val="3"/>
                  <c:pt idx="0">
                    <c:v>1.9091883092036792</c:v>
                  </c:pt>
                  <c:pt idx="1">
                    <c:v>1.0606601717798212</c:v>
                  </c:pt>
                  <c:pt idx="2">
                    <c:v>0.70710678118654757</c:v>
                  </c:pt>
                </c:numCache>
                <c:extLst/>
              </c:numRef>
            </c:minus>
            <c:spPr>
              <a:noFill/>
              <a:ln w="9525" cap="flat" cmpd="sng" algn="ctr">
                <a:solidFill>
                  <a:schemeClr val="tx1">
                    <a:lumMod val="65000"/>
                    <a:lumOff val="35000"/>
                  </a:schemeClr>
                </a:solidFill>
                <a:round/>
              </a:ln>
              <a:effectLst/>
            </c:spPr>
          </c:errBars>
          <c:cat>
            <c:strRef>
              <c:f>(Hoja1!$D$5,Hoja1!$D$7,Hoja1!$D$9)</c:f>
              <c:strCache>
                <c:ptCount val="3"/>
                <c:pt idx="0">
                  <c:v>100 bar</c:v>
                </c:pt>
                <c:pt idx="1">
                  <c:v>250 bar</c:v>
                </c:pt>
                <c:pt idx="2">
                  <c:v>400 bar</c:v>
                </c:pt>
              </c:strCache>
              <c:extLst/>
            </c:strRef>
          </c:cat>
          <c:val>
            <c:numRef>
              <c:f>(Hoja1!$F$30,Hoja1!$F$32,Hoja1!$F$34)</c:f>
              <c:numCache>
                <c:formatCode>General</c:formatCode>
                <c:ptCount val="3"/>
                <c:pt idx="0">
                  <c:v>9.75</c:v>
                </c:pt>
                <c:pt idx="1">
                  <c:v>10.55</c:v>
                </c:pt>
                <c:pt idx="2">
                  <c:v>16</c:v>
                </c:pt>
              </c:numCache>
              <c:extLst/>
            </c:numRef>
          </c:val>
          <c:extLst>
            <c:ext xmlns:c16="http://schemas.microsoft.com/office/drawing/2014/chart" uri="{C3380CC4-5D6E-409C-BE32-E72D297353CC}">
              <c16:uniqueId val="{00000001-4B08-4740-A32D-67B6B8BFAE8C}"/>
            </c:ext>
          </c:extLst>
        </c:ser>
        <c:dLbls>
          <c:showLegendKey val="0"/>
          <c:showVal val="0"/>
          <c:showCatName val="0"/>
          <c:showSerName val="0"/>
          <c:showPercent val="0"/>
          <c:showBubbleSize val="0"/>
        </c:dLbls>
        <c:gapWidth val="219"/>
        <c:overlap val="-27"/>
        <c:axId val="570178431"/>
        <c:axId val="887612959"/>
      </c:barChart>
      <c:catAx>
        <c:axId val="57017843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887612959"/>
        <c:crosses val="autoZero"/>
        <c:auto val="1"/>
        <c:lblAlgn val="ctr"/>
        <c:lblOffset val="100"/>
        <c:noMultiLvlLbl val="0"/>
      </c:catAx>
      <c:valAx>
        <c:axId val="887612959"/>
        <c:scaling>
          <c:orientation val="minMax"/>
          <c:max val="20"/>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ES"/>
                  <a:t>%</a:t>
                </a:r>
                <a:r>
                  <a:rPr lang="es-ES" baseline="0"/>
                  <a:t> Oxidation Inhibition</a:t>
                </a:r>
                <a:endParaRPr lang="es-E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E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57017843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0.22103</cdr:x>
      <cdr:y>0.62651</cdr:y>
    </cdr:from>
    <cdr:to>
      <cdr:x>0.71333</cdr:x>
      <cdr:y>0.77711</cdr:y>
    </cdr:to>
    <cdr:sp macro="" textlink="">
      <cdr:nvSpPr>
        <cdr:cNvPr id="2" name="Cuadro de texto 1"/>
        <cdr:cNvSpPr txBox="1"/>
      </cdr:nvSpPr>
      <cdr:spPr>
        <a:xfrm xmlns:a="http://schemas.openxmlformats.org/drawingml/2006/main">
          <a:off x="628650" y="990600"/>
          <a:ext cx="1400175" cy="2381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s-ES" sz="1000"/>
            <a:t>a                 a                  b</a:t>
          </a:r>
        </a:p>
      </cdr:txBody>
    </cdr:sp>
  </cdr:relSizeAnchor>
  <cdr:relSizeAnchor xmlns:cdr="http://schemas.openxmlformats.org/drawingml/2006/chartDrawing">
    <cdr:from>
      <cdr:x>0.28243</cdr:x>
      <cdr:y>0.18876</cdr:y>
    </cdr:from>
    <cdr:to>
      <cdr:x>0.77473</cdr:x>
      <cdr:y>0.33936</cdr:y>
    </cdr:to>
    <cdr:sp macro="" textlink="">
      <cdr:nvSpPr>
        <cdr:cNvPr id="3" name="Cuadro de texto 1"/>
        <cdr:cNvSpPr txBox="1"/>
      </cdr:nvSpPr>
      <cdr:spPr>
        <a:xfrm xmlns:a="http://schemas.openxmlformats.org/drawingml/2006/main">
          <a:off x="803275" y="298450"/>
          <a:ext cx="1400175" cy="23812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s-ES" sz="1000"/>
            <a:t>c                  c</a:t>
          </a:r>
        </a:p>
      </cdr:txBody>
    </cdr:sp>
  </cdr:relSizeAnchor>
  <cdr:relSizeAnchor xmlns:cdr="http://schemas.openxmlformats.org/drawingml/2006/chartDrawing">
    <cdr:from>
      <cdr:x>0.66979</cdr:x>
      <cdr:y>0</cdr:y>
    </cdr:from>
    <cdr:to>
      <cdr:x>0.97656</cdr:x>
      <cdr:y>0.14458</cdr:y>
    </cdr:to>
    <cdr:sp macro="" textlink="">
      <cdr:nvSpPr>
        <cdr:cNvPr id="4" name="Cuadro de texto 1"/>
        <cdr:cNvSpPr txBox="1"/>
      </cdr:nvSpPr>
      <cdr:spPr>
        <a:xfrm xmlns:a="http://schemas.openxmlformats.org/drawingml/2006/main">
          <a:off x="1905000" y="0"/>
          <a:ext cx="872490" cy="2286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s-ES" sz="1000"/>
            <a:t>d</a:t>
          </a:r>
        </a:p>
      </cdr:txBody>
    </cdr:sp>
  </cdr:relSizeAnchor>
</c:userShapes>
</file>

<file path=word/drawings/drawing2.xml><?xml version="1.0" encoding="utf-8"?>
<c:userShapes xmlns:c="http://schemas.openxmlformats.org/drawingml/2006/chart">
  <cdr:relSizeAnchor xmlns:cdr="http://schemas.openxmlformats.org/drawingml/2006/chartDrawing">
    <cdr:from>
      <cdr:x>0.24676</cdr:x>
      <cdr:y>0.45785</cdr:y>
    </cdr:from>
    <cdr:to>
      <cdr:x>0.44116</cdr:x>
      <cdr:y>0.60041</cdr:y>
    </cdr:to>
    <cdr:sp macro="" textlink="">
      <cdr:nvSpPr>
        <cdr:cNvPr id="2" name="CuadroTexto 1">
          <a:extLst xmlns:a="http://schemas.openxmlformats.org/drawingml/2006/main">
            <a:ext uri="{FF2B5EF4-FFF2-40B4-BE49-F238E27FC236}">
              <a16:creationId xmlns:a16="http://schemas.microsoft.com/office/drawing/2014/main" id="{338E4145-182E-351D-D0E1-3682B6952C5F}"/>
            </a:ext>
          </a:extLst>
        </cdr:cNvPr>
        <cdr:cNvSpPr txBox="1"/>
      </cdr:nvSpPr>
      <cdr:spPr>
        <a:xfrm xmlns:a="http://schemas.openxmlformats.org/drawingml/2006/main">
          <a:off x="683953" y="857082"/>
          <a:ext cx="538833" cy="26686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s-ES" sz="1000"/>
            <a:t>a      a</a:t>
          </a:r>
        </a:p>
      </cdr:txBody>
    </cdr:sp>
  </cdr:relSizeAnchor>
  <cdr:relSizeAnchor xmlns:cdr="http://schemas.openxmlformats.org/drawingml/2006/chartDrawing">
    <cdr:from>
      <cdr:x>0.50111</cdr:x>
      <cdr:y>0.38016</cdr:y>
    </cdr:from>
    <cdr:to>
      <cdr:x>0.75727</cdr:x>
      <cdr:y>0.4911</cdr:y>
    </cdr:to>
    <cdr:sp macro="" textlink="">
      <cdr:nvSpPr>
        <cdr:cNvPr id="3" name="CuadroTexto 1">
          <a:extLst xmlns:a="http://schemas.openxmlformats.org/drawingml/2006/main">
            <a:ext uri="{FF2B5EF4-FFF2-40B4-BE49-F238E27FC236}">
              <a16:creationId xmlns:a16="http://schemas.microsoft.com/office/drawing/2014/main" id="{721C186A-4A60-3610-4F3E-1EDFCE3577E5}"/>
            </a:ext>
          </a:extLst>
        </cdr:cNvPr>
        <cdr:cNvSpPr txBox="1"/>
      </cdr:nvSpPr>
      <cdr:spPr>
        <a:xfrm xmlns:a="http://schemas.openxmlformats.org/drawingml/2006/main">
          <a:off x="1388954" y="711657"/>
          <a:ext cx="710018" cy="207677"/>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s-ES" sz="1000"/>
            <a:t>b     b</a:t>
          </a:r>
        </a:p>
      </cdr:txBody>
    </cdr:sp>
  </cdr:relSizeAnchor>
  <cdr:relSizeAnchor xmlns:cdr="http://schemas.openxmlformats.org/drawingml/2006/chartDrawing">
    <cdr:from>
      <cdr:x>0.72695</cdr:x>
      <cdr:y>0.26232</cdr:y>
    </cdr:from>
    <cdr:to>
      <cdr:x>1</cdr:x>
      <cdr:y>0.33588</cdr:y>
    </cdr:to>
    <cdr:sp macro="" textlink="">
      <cdr:nvSpPr>
        <cdr:cNvPr id="4" name="CuadroTexto 1">
          <a:extLst xmlns:a="http://schemas.openxmlformats.org/drawingml/2006/main">
            <a:ext uri="{FF2B5EF4-FFF2-40B4-BE49-F238E27FC236}">
              <a16:creationId xmlns:a16="http://schemas.microsoft.com/office/drawing/2014/main" id="{721C186A-4A60-3610-4F3E-1EDFCE3577E5}"/>
            </a:ext>
          </a:extLst>
        </cdr:cNvPr>
        <cdr:cNvSpPr txBox="1"/>
      </cdr:nvSpPr>
      <cdr:spPr>
        <a:xfrm xmlns:a="http://schemas.openxmlformats.org/drawingml/2006/main">
          <a:off x="2014942" y="491059"/>
          <a:ext cx="756833" cy="137703"/>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s-ES" sz="1000"/>
            <a:t>c      c</a:t>
          </a:r>
        </a:p>
      </cdr:txBody>
    </cdr:sp>
  </cdr:relSizeAnchor>
</c:userShapes>
</file>

<file path=word/drawings/drawing3.xml><?xml version="1.0" encoding="utf-8"?>
<c:userShapes xmlns:c="http://schemas.openxmlformats.org/drawingml/2006/chart">
  <cdr:relSizeAnchor xmlns:cdr="http://schemas.openxmlformats.org/drawingml/2006/chartDrawing">
    <cdr:from>
      <cdr:x>0.24728</cdr:x>
      <cdr:y>0.26478</cdr:y>
    </cdr:from>
    <cdr:to>
      <cdr:x>0.48797</cdr:x>
      <cdr:y>0.35789</cdr:y>
    </cdr:to>
    <cdr:sp macro="" textlink="">
      <cdr:nvSpPr>
        <cdr:cNvPr id="2" name="CuadroTexto 1">
          <a:extLst xmlns:a="http://schemas.openxmlformats.org/drawingml/2006/main">
            <a:ext uri="{FF2B5EF4-FFF2-40B4-BE49-F238E27FC236}">
              <a16:creationId xmlns:a16="http://schemas.microsoft.com/office/drawing/2014/main" id="{366B13EF-1B3B-B90A-8DE5-5F4C423C8B10}"/>
            </a:ext>
          </a:extLst>
        </cdr:cNvPr>
        <cdr:cNvSpPr txBox="1"/>
      </cdr:nvSpPr>
      <cdr:spPr>
        <a:xfrm xmlns:a="http://schemas.openxmlformats.org/drawingml/2006/main">
          <a:off x="685405" y="495661"/>
          <a:ext cx="667138" cy="1743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s-ES" sz="1000"/>
            <a:t>c   </a:t>
          </a:r>
          <a:r>
            <a:rPr lang="es-ES" sz="1000" baseline="0"/>
            <a:t>   </a:t>
          </a:r>
          <a:r>
            <a:rPr lang="es-ES" sz="1000"/>
            <a:t>c</a:t>
          </a:r>
        </a:p>
      </cdr:txBody>
    </cdr:sp>
  </cdr:relSizeAnchor>
  <cdr:relSizeAnchor xmlns:cdr="http://schemas.openxmlformats.org/drawingml/2006/chartDrawing">
    <cdr:from>
      <cdr:x>0.49442</cdr:x>
      <cdr:y>0.2457</cdr:y>
    </cdr:from>
    <cdr:to>
      <cdr:x>0.74227</cdr:x>
      <cdr:y>0.32643</cdr:y>
    </cdr:to>
    <cdr:sp macro="" textlink="">
      <cdr:nvSpPr>
        <cdr:cNvPr id="3" name="CuadroTexto 1">
          <a:extLst xmlns:a="http://schemas.openxmlformats.org/drawingml/2006/main">
            <a:ext uri="{FF2B5EF4-FFF2-40B4-BE49-F238E27FC236}">
              <a16:creationId xmlns:a16="http://schemas.microsoft.com/office/drawing/2014/main" id="{39F4B21A-E853-A701-E8FA-8F584ADAAB34}"/>
            </a:ext>
          </a:extLst>
        </cdr:cNvPr>
        <cdr:cNvSpPr txBox="1"/>
      </cdr:nvSpPr>
      <cdr:spPr>
        <a:xfrm xmlns:a="http://schemas.openxmlformats.org/drawingml/2006/main">
          <a:off x="1370421" y="459954"/>
          <a:ext cx="686984" cy="15112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s-ES" sz="1000"/>
            <a:t>c   </a:t>
          </a:r>
          <a:r>
            <a:rPr lang="es-ES" sz="1000" baseline="0"/>
            <a:t>   </a:t>
          </a:r>
          <a:r>
            <a:rPr lang="es-ES" sz="1000"/>
            <a:t>c</a:t>
          </a:r>
        </a:p>
      </cdr:txBody>
    </cdr:sp>
  </cdr:relSizeAnchor>
  <cdr:relSizeAnchor xmlns:cdr="http://schemas.openxmlformats.org/drawingml/2006/chartDrawing">
    <cdr:from>
      <cdr:x>0.74234</cdr:x>
      <cdr:y>0.09931</cdr:y>
    </cdr:from>
    <cdr:to>
      <cdr:x>0.96564</cdr:x>
      <cdr:y>0.17027</cdr:y>
    </cdr:to>
    <cdr:sp macro="" textlink="">
      <cdr:nvSpPr>
        <cdr:cNvPr id="4" name="CuadroTexto 1">
          <a:extLst xmlns:a="http://schemas.openxmlformats.org/drawingml/2006/main">
            <a:ext uri="{FF2B5EF4-FFF2-40B4-BE49-F238E27FC236}">
              <a16:creationId xmlns:a16="http://schemas.microsoft.com/office/drawing/2014/main" id="{39F4B21A-E853-A701-E8FA-8F584ADAAB34}"/>
            </a:ext>
          </a:extLst>
        </cdr:cNvPr>
        <cdr:cNvSpPr txBox="1"/>
      </cdr:nvSpPr>
      <cdr:spPr>
        <a:xfrm xmlns:a="http://schemas.openxmlformats.org/drawingml/2006/main">
          <a:off x="2057599" y="185908"/>
          <a:ext cx="618938" cy="132836"/>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s-ES" sz="1000"/>
            <a:t>d   </a:t>
          </a:r>
          <a:r>
            <a:rPr lang="es-ES" sz="1000" baseline="0"/>
            <a:t>  d</a:t>
          </a:r>
          <a:endParaRPr lang="es-ES" sz="1000"/>
        </a:p>
      </cdr:txBody>
    </cdr:sp>
  </cdr:relSizeAnchor>
</c:userShape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165935-755C-45A9-AFA2-E7C1FE1F8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3683</Words>
  <Characters>20258</Characters>
  <Application>Microsoft Office Word</Application>
  <DocSecurity>0</DocSecurity>
  <Lines>168</Lines>
  <Paragraphs>47</Paragraphs>
  <ScaleCrop>false</ScaleCrop>
  <HeadingPairs>
    <vt:vector size="6" baseType="variant">
      <vt:variant>
        <vt:lpstr>Título</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Dipartimento CMIC - Politecnico di Milano</Company>
  <LinksUpToDate>false</LinksUpToDate>
  <CharactersWithSpaces>23894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raffaella</dc:creator>
  <cp:keywords/>
  <dc:description/>
  <cp:lastModifiedBy>Lidia Verano Naranjo</cp:lastModifiedBy>
  <cp:revision>4</cp:revision>
  <cp:lastPrinted>2023-04-16T06:07:00Z</cp:lastPrinted>
  <dcterms:created xsi:type="dcterms:W3CDTF">2023-04-10T11:53:00Z</dcterms:created>
  <dcterms:modified xsi:type="dcterms:W3CDTF">2023-04-16T06:07:00Z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GrammarlyDocumentId">
    <vt:lpwstr>6b27933aae9167f7c43fb5afcf32428577ddff49cada473faffa03a00b44f292</vt:lpwstr>
  </property>
</Properties>
</file>